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97DE" w14:textId="7A5D7BBD" w:rsidR="00AC4A7E" w:rsidRDefault="00AC4A7E">
      <w:pPr>
        <w:spacing w:after="27" w:line="259" w:lineRule="auto"/>
        <w:ind w:left="268" w:firstLine="0"/>
        <w:jc w:val="center"/>
      </w:pPr>
      <w:bookmarkStart w:id="0" w:name="_GoBack"/>
      <w:bookmarkEnd w:id="0"/>
    </w:p>
    <w:p w14:paraId="2093EE66" w14:textId="77777777" w:rsidR="00AC4A7E" w:rsidRDefault="00043982">
      <w:pPr>
        <w:pStyle w:val="Titolo1"/>
      </w:pPr>
      <w:r>
        <w:t xml:space="preserve">PROCEDURE E DOCUMENTAZIONE PER ALUNNI BES/SVANTAGGIO </w:t>
      </w:r>
    </w:p>
    <w:p w14:paraId="662D9538" w14:textId="77777777" w:rsidR="00AC4A7E" w:rsidRDefault="00043982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  <w:sz w:val="31"/>
        </w:rPr>
        <w:t xml:space="preserve"> </w:t>
      </w:r>
    </w:p>
    <w:p w14:paraId="7DC28132" w14:textId="77777777" w:rsidR="00AC4A7E" w:rsidRDefault="00043982">
      <w:pPr>
        <w:spacing w:after="38"/>
        <w:ind w:left="206"/>
      </w:pPr>
      <w:r>
        <w:rPr>
          <w:u w:val="single" w:color="000000"/>
        </w:rPr>
        <w:t xml:space="preserve">Il Consiglio di Classe </w:t>
      </w:r>
      <w:r>
        <w:t xml:space="preserve">ha il compito di rilevazione dello svantaggio sociale e culturale, di individuazione dei bisogni relativi all’apprendimento e di attivazione delle progettualità personalizzate. </w:t>
      </w:r>
    </w:p>
    <w:p w14:paraId="29E36509" w14:textId="77777777" w:rsidR="00AC4A7E" w:rsidRDefault="00043982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  <w:sz w:val="27"/>
        </w:rPr>
        <w:t xml:space="preserve"> </w:t>
      </w:r>
    </w:p>
    <w:p w14:paraId="13A7C624" w14:textId="77777777" w:rsidR="00AC4A7E" w:rsidRDefault="00043982">
      <w:pPr>
        <w:ind w:left="206"/>
      </w:pPr>
      <w:r>
        <w:rPr>
          <w:u w:val="single" w:color="000000"/>
        </w:rPr>
        <w:t xml:space="preserve">Lo specialista </w:t>
      </w:r>
      <w:r>
        <w:t xml:space="preserve">può essere di supporto al </w:t>
      </w:r>
      <w:proofErr w:type="spellStart"/>
      <w:r>
        <w:t>CdC</w:t>
      </w:r>
      <w:proofErr w:type="spellEnd"/>
      <w:r>
        <w:t xml:space="preserve"> sia nella fase di preparazione di strumenti di osservazione da utilizzare in classe che nella fase di individuazione di metodologie didattiche che sostengano il percorso personalizzato. </w:t>
      </w:r>
    </w:p>
    <w:p w14:paraId="26690B93" w14:textId="77777777" w:rsidR="00AC4A7E" w:rsidRDefault="00043982">
      <w:pPr>
        <w:ind w:left="206"/>
      </w:pPr>
      <w:proofErr w:type="gramStart"/>
      <w:r>
        <w:t>L’assunzione del parere di uno specialista,</w:t>
      </w:r>
      <w:proofErr w:type="gramEnd"/>
      <w:r>
        <w:t xml:space="preserve"> favorisce la comprensione più approfondita e completa della situazione personale e socio/ambientale dello studente. </w:t>
      </w:r>
    </w:p>
    <w:p w14:paraId="26EDDE98" w14:textId="77777777" w:rsidR="00AC4A7E" w:rsidRDefault="00043982">
      <w:pPr>
        <w:ind w:left="206"/>
      </w:pPr>
      <w:r>
        <w:rPr>
          <w:u w:val="single" w:color="000000"/>
        </w:rPr>
        <w:t xml:space="preserve">La famiglia </w:t>
      </w:r>
      <w:r>
        <w:t xml:space="preserve">deve essere informata dei bisogni rilevati dagli insegnanti, guidata a comprendere il suo ruolo di corresponsabilità e sulla necessità di collaborazione. </w:t>
      </w:r>
    </w:p>
    <w:p w14:paraId="0E813F0B" w14:textId="77777777" w:rsidR="00AC4A7E" w:rsidRDefault="00043982">
      <w:pPr>
        <w:spacing w:after="13"/>
        <w:ind w:left="206"/>
        <w:jc w:val="both"/>
      </w:pPr>
      <w:r>
        <w:t xml:space="preserve">Senza un parere positivo della famiglia i percorsi personalizzati non possono essere attivati. Quindi la comunicazione con la famiglia deve essere puntuale, in modo particolare riguardo ad una lettura condivisa delle difficoltà e della progettazione educativo/didattica per favorire il successo formativo. </w:t>
      </w:r>
    </w:p>
    <w:p w14:paraId="0F5C49F6" w14:textId="77777777" w:rsidR="00AC4A7E" w:rsidRDefault="00043982">
      <w:pPr>
        <w:spacing w:after="55"/>
        <w:ind w:left="206"/>
      </w:pPr>
      <w:r>
        <w:t xml:space="preserve">In accordo con la famiglia verranno individuate le modalità e le strategie specifiche, adeguate alle effettive capacità dello studente, per favorire lo sviluppo pieno delle sue potenzialità nel rispetto degli obiettivi previsti dai Piani di studio. </w:t>
      </w:r>
    </w:p>
    <w:p w14:paraId="628E2859" w14:textId="77777777" w:rsidR="00AC4A7E" w:rsidRDefault="00043982">
      <w:pPr>
        <w:ind w:left="206"/>
      </w:pP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u w:val="single" w:color="000000"/>
        </w:rPr>
        <w:t>L’insegnate referente BES</w:t>
      </w:r>
      <w:r>
        <w:t xml:space="preserve"> di ogni plesso deve essere informato dai </w:t>
      </w:r>
      <w:proofErr w:type="spellStart"/>
      <w:r>
        <w:t>cdc</w:t>
      </w:r>
      <w:proofErr w:type="spellEnd"/>
      <w:r>
        <w:t xml:space="preserve">/team della segnalazione di alunni in situazione di svantaggio, può fornire supporto ai colleghi per la stesura dei documenti e registra (raccoglierà i dati) sui casi individuati. </w:t>
      </w:r>
    </w:p>
    <w:p w14:paraId="02AED133" w14:textId="62FC48D5" w:rsidR="00043982" w:rsidRDefault="00043982">
      <w:pPr>
        <w:ind w:left="206"/>
      </w:pPr>
      <w:r>
        <w:rPr>
          <w:u w:val="single" w:color="000000"/>
        </w:rPr>
        <w:t xml:space="preserve">In segreteria </w:t>
      </w:r>
      <w:r>
        <w:t xml:space="preserve">presso l’ufficio alunni vanno inviati i PDP redatti e firmati da tutti i docenti del </w:t>
      </w:r>
      <w:proofErr w:type="spellStart"/>
      <w:r>
        <w:t>CdC</w:t>
      </w:r>
      <w:proofErr w:type="spellEnd"/>
      <w:r>
        <w:t xml:space="preserve">/team. </w:t>
      </w:r>
    </w:p>
    <w:p w14:paraId="0382F550" w14:textId="5209C10C" w:rsidR="00043982" w:rsidRDefault="00043982">
      <w:pPr>
        <w:ind w:left="206"/>
      </w:pPr>
    </w:p>
    <w:p w14:paraId="5B3FD208" w14:textId="3A697398" w:rsidR="00043982" w:rsidRDefault="00043982">
      <w:pPr>
        <w:ind w:left="206"/>
      </w:pPr>
    </w:p>
    <w:p w14:paraId="7A845D44" w14:textId="42FAEBBF" w:rsidR="00043982" w:rsidRDefault="00043982">
      <w:pPr>
        <w:ind w:left="206"/>
      </w:pPr>
    </w:p>
    <w:p w14:paraId="2F32C38C" w14:textId="49849E70" w:rsidR="00043982" w:rsidRDefault="00043982">
      <w:pPr>
        <w:ind w:left="206"/>
      </w:pPr>
    </w:p>
    <w:p w14:paraId="7FBEFA96" w14:textId="5CA04CC5" w:rsidR="00043982" w:rsidRDefault="00043982">
      <w:pPr>
        <w:ind w:left="206"/>
      </w:pPr>
    </w:p>
    <w:p w14:paraId="0CADFA36" w14:textId="09649887" w:rsidR="00043982" w:rsidRDefault="00043982">
      <w:pPr>
        <w:ind w:left="206"/>
      </w:pPr>
    </w:p>
    <w:p w14:paraId="733C1B47" w14:textId="63EF6163" w:rsidR="00043982" w:rsidRDefault="00043982">
      <w:pPr>
        <w:ind w:left="206"/>
      </w:pPr>
    </w:p>
    <w:p w14:paraId="7177F0B3" w14:textId="2159E5C9" w:rsidR="00043982" w:rsidRDefault="00043982">
      <w:pPr>
        <w:ind w:left="206"/>
      </w:pPr>
    </w:p>
    <w:p w14:paraId="10D11315" w14:textId="3FD5D5E9" w:rsidR="00043982" w:rsidRDefault="00043982">
      <w:pPr>
        <w:ind w:left="206"/>
      </w:pPr>
    </w:p>
    <w:p w14:paraId="079C5677" w14:textId="78ABAF41" w:rsidR="00AC4A7E" w:rsidRDefault="00AC4A7E">
      <w:pPr>
        <w:spacing w:after="0" w:line="259" w:lineRule="auto"/>
        <w:ind w:left="0" w:firstLine="0"/>
        <w:jc w:val="both"/>
      </w:pPr>
    </w:p>
    <w:tbl>
      <w:tblPr>
        <w:tblStyle w:val="TableGrid"/>
        <w:tblW w:w="15070" w:type="dxa"/>
        <w:tblInd w:w="106" w:type="dxa"/>
        <w:tblCellMar>
          <w:top w:w="28" w:type="dxa"/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5023"/>
        <w:gridCol w:w="5021"/>
        <w:gridCol w:w="5026"/>
      </w:tblGrid>
      <w:tr w:rsidR="00AC4A7E" w14:paraId="28589BAC" w14:textId="77777777">
        <w:trPr>
          <w:trHeight w:val="305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CAE8" w14:textId="77777777" w:rsidR="00AC4A7E" w:rsidRDefault="00043982">
            <w:pPr>
              <w:spacing w:after="0" w:line="259" w:lineRule="auto"/>
              <w:ind w:left="43" w:firstLine="0"/>
              <w:jc w:val="center"/>
            </w:pPr>
            <w:r>
              <w:lastRenderedPageBreak/>
              <w:t xml:space="preserve">DOCUMENTO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EF2E" w14:textId="77777777" w:rsidR="00AC4A7E" w:rsidRDefault="00043982">
            <w:pPr>
              <w:spacing w:after="0" w:line="259" w:lineRule="auto"/>
              <w:ind w:left="48" w:firstLine="0"/>
              <w:jc w:val="center"/>
            </w:pPr>
            <w:r>
              <w:t xml:space="preserve">CHI LO REDIGE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7831" w14:textId="77777777" w:rsidR="00AC4A7E" w:rsidRDefault="00043982">
            <w:pPr>
              <w:spacing w:after="0" w:line="259" w:lineRule="auto"/>
              <w:ind w:left="48" w:firstLine="0"/>
              <w:jc w:val="center"/>
            </w:pPr>
            <w:r>
              <w:t xml:space="preserve">QUANDO </w:t>
            </w:r>
          </w:p>
        </w:tc>
      </w:tr>
      <w:tr w:rsidR="00AC4A7E" w14:paraId="64219B19" w14:textId="77777777">
        <w:trPr>
          <w:trHeight w:val="8798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E997" w14:textId="56B106F3" w:rsidR="00AC4A7E" w:rsidRDefault="00043982">
            <w:pPr>
              <w:spacing w:after="0" w:line="259" w:lineRule="auto"/>
              <w:ind w:left="108" w:firstLine="0"/>
            </w:pPr>
            <w:r>
              <w:t xml:space="preserve">PROGETTO DIDATTICO PERSONALIZZATO </w:t>
            </w:r>
          </w:p>
          <w:p w14:paraId="700645B8" w14:textId="77777777" w:rsidR="00AC4A7E" w:rsidRDefault="00043982">
            <w:pPr>
              <w:spacing w:after="0" w:line="240" w:lineRule="auto"/>
              <w:ind w:left="108" w:firstLine="0"/>
            </w:pPr>
            <w:r>
              <w:t xml:space="preserve">È il percorso didattico basato sulle effettive capacità dello studente, al fine di consentire lo sviluppo delle potenzialità e la piena partecipazione dello studente. Indica gli interventi volti a favorire il superamento delle situazioni di svantaggio. </w:t>
            </w:r>
          </w:p>
          <w:p w14:paraId="3BAD8FBE" w14:textId="77777777" w:rsidR="00AC4A7E" w:rsidRDefault="00043982">
            <w:pPr>
              <w:spacing w:after="42" w:line="240" w:lineRule="auto"/>
              <w:ind w:left="108" w:firstLine="0"/>
            </w:pPr>
            <w:r>
              <w:t xml:space="preserve">Il PDP dello studente, in linea di massima, raccoglie: </w:t>
            </w:r>
          </w:p>
          <w:p w14:paraId="0C703515" w14:textId="77777777" w:rsidR="00AC4A7E" w:rsidRDefault="00043982">
            <w:pPr>
              <w:numPr>
                <w:ilvl w:val="0"/>
                <w:numId w:val="2"/>
              </w:numPr>
              <w:spacing w:after="46" w:line="242" w:lineRule="auto"/>
              <w:ind w:hanging="132"/>
            </w:pPr>
            <w:r>
              <w:t xml:space="preserve">il parere dello specialista nella rilevazione della situazione di svantaggio; </w:t>
            </w:r>
          </w:p>
          <w:p w14:paraId="47B11DED" w14:textId="77777777" w:rsidR="00AC4A7E" w:rsidRDefault="00043982">
            <w:pPr>
              <w:numPr>
                <w:ilvl w:val="0"/>
                <w:numId w:val="2"/>
              </w:numPr>
              <w:spacing w:after="12" w:line="259" w:lineRule="auto"/>
              <w:ind w:hanging="132"/>
            </w:pPr>
            <w:r>
              <w:t xml:space="preserve">gli obiettivi specifici di apprendimento; </w:t>
            </w:r>
          </w:p>
          <w:p w14:paraId="70D5E8E2" w14:textId="77777777" w:rsidR="00AC4A7E" w:rsidRDefault="00043982">
            <w:pPr>
              <w:numPr>
                <w:ilvl w:val="0"/>
                <w:numId w:val="2"/>
              </w:numPr>
              <w:spacing w:after="32" w:line="252" w:lineRule="auto"/>
              <w:ind w:hanging="132"/>
            </w:pPr>
            <w:r>
              <w:t>le strategie e le attività educativo/didattiche; -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t xml:space="preserve">le iniziative formative integrate fra istituzioni scolastiche e realtà socio/assistenziali o educative territoriali; </w:t>
            </w:r>
          </w:p>
          <w:p w14:paraId="5954137F" w14:textId="77777777" w:rsidR="00AC4A7E" w:rsidRDefault="00043982">
            <w:pPr>
              <w:numPr>
                <w:ilvl w:val="0"/>
                <w:numId w:val="2"/>
              </w:numPr>
              <w:spacing w:after="14" w:line="259" w:lineRule="auto"/>
              <w:ind w:hanging="132"/>
            </w:pPr>
            <w:r>
              <w:t xml:space="preserve">le modalità di verifica e valutazione; </w:t>
            </w:r>
          </w:p>
          <w:p w14:paraId="097CD079" w14:textId="77777777" w:rsidR="00AC4A7E" w:rsidRDefault="00043982">
            <w:pPr>
              <w:numPr>
                <w:ilvl w:val="0"/>
                <w:numId w:val="2"/>
              </w:numPr>
              <w:spacing w:after="0" w:line="259" w:lineRule="auto"/>
              <w:ind w:hanging="132"/>
            </w:pPr>
            <w:r>
              <w:t xml:space="preserve">il consenso della famiglia. </w:t>
            </w:r>
          </w:p>
          <w:p w14:paraId="14566390" w14:textId="77777777" w:rsidR="00AC4A7E" w:rsidRDefault="00043982">
            <w:pPr>
              <w:spacing w:after="0" w:line="243" w:lineRule="auto"/>
              <w:ind w:left="0" w:right="4920" w:firstLine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</w:p>
          <w:p w14:paraId="5136483A" w14:textId="77777777" w:rsidR="00AC4A7E" w:rsidRDefault="00043982">
            <w:pPr>
              <w:spacing w:after="67" w:line="243" w:lineRule="auto"/>
              <w:ind w:left="0" w:right="4920" w:firstLine="0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</w:p>
          <w:p w14:paraId="2A7DCCC3" w14:textId="77777777" w:rsidR="00AC4A7E" w:rsidRDefault="00043982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  <w:sz w:val="31"/>
              </w:rPr>
              <w:t xml:space="preserve"> </w:t>
            </w:r>
          </w:p>
          <w:p w14:paraId="372519B3" w14:textId="77777777" w:rsidR="00AC4A7E" w:rsidRDefault="00043982">
            <w:pPr>
              <w:spacing w:after="0" w:line="259" w:lineRule="auto"/>
              <w:ind w:left="108" w:firstLine="0"/>
            </w:pPr>
            <w:r>
              <w:t xml:space="preserve">RELAZIONE FINALE </w:t>
            </w:r>
          </w:p>
          <w:p w14:paraId="2557BF19" w14:textId="77777777" w:rsidR="00AC4A7E" w:rsidRDefault="00043982">
            <w:pPr>
              <w:spacing w:after="0" w:line="259" w:lineRule="auto"/>
              <w:ind w:left="108" w:right="1347" w:firstLine="0"/>
            </w:pPr>
            <w:r>
              <w:t xml:space="preserve">Riscontro delle attività programmate nel PDP con eventuali modifiche o suggerimenti.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81B" w14:textId="77777777" w:rsidR="00AC4A7E" w:rsidRDefault="00043982">
            <w:pPr>
              <w:spacing w:after="0" w:line="259" w:lineRule="auto"/>
              <w:ind w:left="108" w:firstLine="0"/>
            </w:pPr>
            <w:r>
              <w:t xml:space="preserve">DOCENTE REFERENTE </w:t>
            </w:r>
          </w:p>
          <w:p w14:paraId="7C515C38" w14:textId="77777777" w:rsidR="00AC4A7E" w:rsidRDefault="00043982">
            <w:pPr>
              <w:spacing w:after="0" w:line="240" w:lineRule="auto"/>
              <w:ind w:left="108" w:firstLine="0"/>
              <w:jc w:val="both"/>
            </w:pPr>
            <w:r>
              <w:t xml:space="preserve">Va scelto fra gli insegnanti del </w:t>
            </w:r>
            <w:proofErr w:type="spellStart"/>
            <w:r>
              <w:t>CdC</w:t>
            </w:r>
            <w:proofErr w:type="spellEnd"/>
            <w:r>
              <w:t xml:space="preserve">/team curala stesura del PDP concordato tra Docenti, famiglia </w:t>
            </w:r>
          </w:p>
          <w:p w14:paraId="584BDD6F" w14:textId="77777777" w:rsidR="00AC4A7E" w:rsidRDefault="00043982">
            <w:pPr>
              <w:spacing w:after="32" w:line="244" w:lineRule="auto"/>
              <w:ind w:left="108" w:right="2015" w:firstLine="0"/>
            </w:pPr>
            <w:r>
              <w:t xml:space="preserve">ed eventuali altri operatori; Il Docente referente: </w:t>
            </w:r>
          </w:p>
          <w:p w14:paraId="717AC65C" w14:textId="77777777" w:rsidR="00AC4A7E" w:rsidRDefault="00043982">
            <w:pPr>
              <w:numPr>
                <w:ilvl w:val="0"/>
                <w:numId w:val="3"/>
              </w:numPr>
              <w:spacing w:after="0" w:line="259" w:lineRule="auto"/>
              <w:ind w:right="29" w:firstLine="0"/>
            </w:pPr>
            <w:r>
              <w:t xml:space="preserve">cura la relazione e il coordinamento del </w:t>
            </w:r>
          </w:p>
          <w:p w14:paraId="0E18ABDD" w14:textId="77777777" w:rsidR="00AC4A7E" w:rsidRDefault="00043982">
            <w:pPr>
              <w:spacing w:after="18" w:line="259" w:lineRule="auto"/>
              <w:ind w:left="108" w:firstLine="0"/>
            </w:pPr>
            <w:r>
              <w:t xml:space="preserve">Consiglio di classe con la famiglia; </w:t>
            </w:r>
          </w:p>
          <w:p w14:paraId="6385FB40" w14:textId="77777777" w:rsidR="00AC4A7E" w:rsidRDefault="00043982">
            <w:pPr>
              <w:numPr>
                <w:ilvl w:val="0"/>
                <w:numId w:val="3"/>
              </w:numPr>
              <w:spacing w:after="0" w:line="240" w:lineRule="auto"/>
              <w:ind w:right="29" w:firstLine="0"/>
            </w:pPr>
            <w:r>
              <w:t xml:space="preserve">è garante di quanto concordato nel PDP ed aggiorna il Consiglio di Classe sul percorso dello studente. </w:t>
            </w:r>
          </w:p>
          <w:p w14:paraId="2604A868" w14:textId="77777777" w:rsidR="00AC4A7E" w:rsidRDefault="00043982">
            <w:pPr>
              <w:spacing w:after="0" w:line="259" w:lineRule="auto"/>
              <w:ind w:left="108" w:firstLine="0"/>
            </w:pPr>
            <w:r>
              <w:t xml:space="preserve">L’adozione delle misure è collegiale. </w:t>
            </w:r>
          </w:p>
          <w:p w14:paraId="1BBD75AD" w14:textId="77777777" w:rsidR="00AC4A7E" w:rsidRDefault="00043982">
            <w:pPr>
              <w:spacing w:after="0" w:line="242" w:lineRule="auto"/>
              <w:ind w:left="108" w:firstLine="0"/>
              <w:jc w:val="both"/>
            </w:pPr>
            <w:r>
              <w:t xml:space="preserve">Tutti i Docenti della classe attuano quanto previsto nel PDP. </w:t>
            </w:r>
          </w:p>
          <w:p w14:paraId="4E5823CC" w14:textId="77777777" w:rsidR="00AC4A7E" w:rsidRDefault="00043982">
            <w:pPr>
              <w:spacing w:after="0" w:line="240" w:lineRule="auto"/>
              <w:ind w:left="108" w:right="58" w:firstLine="0"/>
              <w:jc w:val="both"/>
            </w:pPr>
            <w:r>
              <w:t xml:space="preserve">Il DOCENTE REFERENTE predispone un PDP che ha un carattere temporaneo, in quanto è un progetto d’intervento limitato al periodo necessario per il raggiungimento degli obiettivi in esso previsti. </w:t>
            </w:r>
          </w:p>
          <w:p w14:paraId="26621A8F" w14:textId="77777777" w:rsidR="00AC4A7E" w:rsidRDefault="00043982">
            <w:pPr>
              <w:spacing w:after="0" w:line="240" w:lineRule="auto"/>
              <w:ind w:left="108" w:right="56" w:firstLine="0"/>
              <w:jc w:val="both"/>
            </w:pPr>
            <w:r>
              <w:t xml:space="preserve">La progettazione personalizzata può essere anche differenziata dal percorso della classe, anche se è consigliabile sia il più possibile coerente con il percorso della classe. </w:t>
            </w:r>
          </w:p>
          <w:p w14:paraId="1CA1A470" w14:textId="77777777" w:rsidR="00AC4A7E" w:rsidRDefault="00043982">
            <w:pPr>
              <w:spacing w:after="0" w:line="259" w:lineRule="auto"/>
              <w:ind w:left="0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14:paraId="002E10EB" w14:textId="77777777" w:rsidR="00AC4A7E" w:rsidRDefault="00043982">
            <w:pPr>
              <w:spacing w:after="0" w:line="259" w:lineRule="auto"/>
              <w:ind w:left="108" w:firstLine="0"/>
            </w:pPr>
            <w:r>
              <w:t>DOCENTE REFERENTE E DOCENTI CURRICOLARI (</w:t>
            </w:r>
            <w:proofErr w:type="spellStart"/>
            <w:r>
              <w:t>CdC</w:t>
            </w:r>
            <w:proofErr w:type="spellEnd"/>
            <w:r>
              <w:t xml:space="preserve">/team).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ABA4" w14:textId="77777777" w:rsidR="00AC4A7E" w:rsidRDefault="00043982">
            <w:pPr>
              <w:spacing w:after="46" w:line="240" w:lineRule="auto"/>
              <w:ind w:left="110" w:right="53" w:firstLine="0"/>
              <w:jc w:val="both"/>
            </w:pPr>
            <w:r>
              <w:t xml:space="preserve">Ogni qualvolta il </w:t>
            </w:r>
            <w:proofErr w:type="spellStart"/>
            <w:r>
              <w:t>CdC</w:t>
            </w:r>
            <w:proofErr w:type="spellEnd"/>
            <w:r>
              <w:t xml:space="preserve">/team rileva una situazione di svantaggio tale da compromettere in modo significativo la frequenza e il positivo svolgimento del percorso di istruzione e formazione. La condizione di svantaggio può essere determinata da: </w:t>
            </w:r>
          </w:p>
          <w:p w14:paraId="2C0462C3" w14:textId="77777777" w:rsidR="00AC4A7E" w:rsidRDefault="00043982">
            <w:pPr>
              <w:numPr>
                <w:ilvl w:val="0"/>
                <w:numId w:val="4"/>
              </w:numPr>
              <w:spacing w:line="259" w:lineRule="auto"/>
              <w:ind w:left="364" w:hanging="254"/>
            </w:pPr>
            <w:r>
              <w:t xml:space="preserve">particolari condizioni sociali o ambientali </w:t>
            </w:r>
          </w:p>
          <w:p w14:paraId="3F4D8CD3" w14:textId="77777777" w:rsidR="00AC4A7E" w:rsidRDefault="00043982">
            <w:pPr>
              <w:numPr>
                <w:ilvl w:val="0"/>
                <w:numId w:val="4"/>
              </w:numPr>
              <w:spacing w:after="0" w:line="259" w:lineRule="auto"/>
              <w:ind w:left="364" w:hanging="254"/>
            </w:pPr>
            <w:r>
              <w:t xml:space="preserve">difficoltà di apprendimento. </w:t>
            </w:r>
          </w:p>
          <w:p w14:paraId="1D2044DF" w14:textId="77777777" w:rsidR="00AC4A7E" w:rsidRDefault="00043982">
            <w:pPr>
              <w:spacing w:after="0" w:line="243" w:lineRule="auto"/>
              <w:ind w:left="2" w:right="4920" w:firstLine="0"/>
            </w:pPr>
            <w:r>
              <w:rPr>
                <w:rFonts w:ascii="Courier New" w:eastAsia="Courier New" w:hAnsi="Courier New" w:cs="Courier New"/>
              </w:rPr>
              <w:t xml:space="preserve">              </w:t>
            </w:r>
          </w:p>
          <w:p w14:paraId="79FEE272" w14:textId="77777777" w:rsidR="00AC4A7E" w:rsidRDefault="00043982">
            <w:pPr>
              <w:spacing w:after="0" w:line="259" w:lineRule="auto"/>
              <w:ind w:left="2" w:firstLine="0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14:paraId="42421B89" w14:textId="77777777" w:rsidR="00AC4A7E" w:rsidRDefault="00043982">
            <w:pPr>
              <w:spacing w:after="13" w:line="259" w:lineRule="auto"/>
              <w:ind w:left="2" w:firstLine="0"/>
            </w:pP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</w:p>
          <w:p w14:paraId="7D2734CD" w14:textId="77777777" w:rsidR="00AC4A7E" w:rsidRDefault="00043982">
            <w:pPr>
              <w:spacing w:after="0" w:line="259" w:lineRule="auto"/>
              <w:ind w:left="110" w:firstLine="0"/>
            </w:pPr>
            <w:r>
              <w:t xml:space="preserve">A fine anno scolastico </w:t>
            </w:r>
          </w:p>
        </w:tc>
      </w:tr>
    </w:tbl>
    <w:p w14:paraId="78480D62" w14:textId="4EC50527" w:rsidR="00AC4A7E" w:rsidRDefault="00043982">
      <w:pPr>
        <w:spacing w:after="219" w:line="259" w:lineRule="auto"/>
        <w:ind w:left="0" w:firstLine="0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77638840" w14:textId="406EEC59" w:rsidR="00043982" w:rsidRDefault="00043982">
      <w:pPr>
        <w:spacing w:after="219" w:line="259" w:lineRule="auto"/>
        <w:ind w:left="0" w:firstLine="0"/>
        <w:rPr>
          <w:rFonts w:ascii="Courier New" w:eastAsia="Courier New" w:hAnsi="Courier New" w:cs="Courier New"/>
          <w:sz w:val="20"/>
        </w:rPr>
      </w:pPr>
    </w:p>
    <w:p w14:paraId="7F3659BD" w14:textId="77777777" w:rsidR="00AC4A7E" w:rsidRDefault="00043982">
      <w:pPr>
        <w:spacing w:after="13"/>
        <w:ind w:left="206"/>
        <w:jc w:val="both"/>
      </w:pPr>
      <w:r>
        <w:t xml:space="preserve">MODALITÀ DI VERIFICA E VALUTAZIONE </w:t>
      </w:r>
    </w:p>
    <w:p w14:paraId="631DB2A6" w14:textId="77777777" w:rsidR="00AC4A7E" w:rsidRDefault="00043982">
      <w:pPr>
        <w:spacing w:after="56"/>
        <w:ind w:left="206"/>
        <w:jc w:val="both"/>
      </w:pPr>
      <w:r>
        <w:t xml:space="preserve">Al momento della valutazione è necessario tenere conto, da un lato dei risultati raggiunti dal singolo studente in relazione al suo punto di partenza, dall’altro è fondamentale verificare quanto gli obiettivi sono riconducibili ai livelli essenziali degli apprendimenti previsti dal grado di scuola frequentato. A tal fine è </w:t>
      </w:r>
      <w:proofErr w:type="gramStart"/>
      <w:r>
        <w:t>importante :</w:t>
      </w:r>
      <w:proofErr w:type="gramEnd"/>
      <w:r>
        <w:t xml:space="preserve"> </w:t>
      </w:r>
    </w:p>
    <w:p w14:paraId="055B886A" w14:textId="77777777" w:rsidR="00AC4A7E" w:rsidRDefault="00043982">
      <w:pPr>
        <w:numPr>
          <w:ilvl w:val="0"/>
          <w:numId w:val="1"/>
        </w:numPr>
        <w:spacing w:after="46"/>
        <w:ind w:hanging="175"/>
      </w:pPr>
      <w:r>
        <w:t xml:space="preserve">concordare con lo studente le attività svolte in modo differenziato rispetto alla classe; </w:t>
      </w:r>
    </w:p>
    <w:p w14:paraId="238CF286" w14:textId="77777777" w:rsidR="00AC4A7E" w:rsidRDefault="00043982">
      <w:pPr>
        <w:numPr>
          <w:ilvl w:val="0"/>
          <w:numId w:val="1"/>
        </w:numPr>
        <w:spacing w:after="55"/>
        <w:ind w:hanging="175"/>
      </w:pPr>
      <w:r>
        <w:t xml:space="preserve">le modalità di raccordo con le discipline in termini di contenuti e competenze; </w:t>
      </w:r>
    </w:p>
    <w:p w14:paraId="7140B201" w14:textId="77777777" w:rsidR="00AC4A7E" w:rsidRDefault="00043982">
      <w:pPr>
        <w:numPr>
          <w:ilvl w:val="0"/>
          <w:numId w:val="1"/>
        </w:numPr>
        <w:spacing w:after="53"/>
        <w:ind w:hanging="175"/>
      </w:pPr>
      <w:r>
        <w:t xml:space="preserve">individuare modalità di verifica che prevedano anche prove assimilabili al percorso comune; </w:t>
      </w:r>
    </w:p>
    <w:p w14:paraId="59F9BA76" w14:textId="77777777" w:rsidR="00AC4A7E" w:rsidRDefault="00043982">
      <w:pPr>
        <w:numPr>
          <w:ilvl w:val="0"/>
          <w:numId w:val="1"/>
        </w:numPr>
        <w:ind w:hanging="175"/>
      </w:pPr>
      <w:r>
        <w:t xml:space="preserve">stabilire livelli essenziali di competenza che consentano di valutare la contiguità con il percorso comune e il possibile passaggio alla classe successiva. </w:t>
      </w:r>
    </w:p>
    <w:p w14:paraId="5C73227F" w14:textId="77777777" w:rsidR="00AC4A7E" w:rsidRDefault="00043982">
      <w:pPr>
        <w:spacing w:after="0" w:line="259" w:lineRule="auto"/>
        <w:ind w:left="0" w:firstLine="0"/>
      </w:pPr>
      <w:r>
        <w:t xml:space="preserve"> </w:t>
      </w:r>
    </w:p>
    <w:p w14:paraId="47FF55FA" w14:textId="77777777" w:rsidR="00AC4A7E" w:rsidRDefault="00043982">
      <w:pPr>
        <w:spacing w:after="8" w:line="259" w:lineRule="auto"/>
        <w:ind w:left="0" w:firstLine="0"/>
      </w:pPr>
      <w:r>
        <w:rPr>
          <w:rFonts w:ascii="Courier New" w:eastAsia="Courier New" w:hAnsi="Courier New" w:cs="Courier New"/>
          <w:sz w:val="23"/>
        </w:rPr>
        <w:t xml:space="preserve"> </w:t>
      </w:r>
    </w:p>
    <w:p w14:paraId="29922A9E" w14:textId="77777777" w:rsidR="00AC4A7E" w:rsidRDefault="00043982">
      <w:pPr>
        <w:ind w:left="206"/>
      </w:pPr>
      <w:r>
        <w:t xml:space="preserve">Considerato il carattere temporaneo valutare l’opportunità o meno di trasferire le informazioni da un ordine di scuola a un altro. </w:t>
      </w:r>
    </w:p>
    <w:p w14:paraId="6779BE39" w14:textId="77777777" w:rsidR="00AC4A7E" w:rsidRDefault="00043982">
      <w:pPr>
        <w:spacing w:after="36" w:line="259" w:lineRule="auto"/>
        <w:ind w:left="0" w:firstLine="0"/>
      </w:pPr>
      <w:r>
        <w:rPr>
          <w:rFonts w:ascii="Courier New" w:eastAsia="Courier New" w:hAnsi="Courier New" w:cs="Courier New"/>
          <w:sz w:val="19"/>
        </w:rPr>
        <w:t xml:space="preserve"> </w:t>
      </w:r>
    </w:p>
    <w:p w14:paraId="44836DD8" w14:textId="77777777" w:rsidR="00AC4A7E" w:rsidRDefault="00043982">
      <w:pPr>
        <w:spacing w:after="0" w:line="274" w:lineRule="auto"/>
        <w:ind w:left="211" w:firstLine="0"/>
      </w:pPr>
      <w:r>
        <w:rPr>
          <w:sz w:val="23"/>
        </w:rPr>
        <w:t xml:space="preserve">In sede di esame finale, per questi studenti possono essere previste modalità differenziate di verifica: la valutazione dovrà tener conto della situazione dello studente e del progetto didattico personalizzato predisposto dal </w:t>
      </w:r>
      <w:proofErr w:type="spellStart"/>
      <w:r>
        <w:rPr>
          <w:sz w:val="23"/>
        </w:rPr>
        <w:t>C.d.C</w:t>
      </w:r>
      <w:proofErr w:type="spellEnd"/>
      <w:r>
        <w:rPr>
          <w:sz w:val="23"/>
        </w:rPr>
        <w:t xml:space="preserve">. </w:t>
      </w:r>
      <w:proofErr w:type="gramStart"/>
      <w:r>
        <w:rPr>
          <w:sz w:val="23"/>
        </w:rPr>
        <w:t>( C.M.</w:t>
      </w:r>
      <w:proofErr w:type="gramEnd"/>
      <w:r>
        <w:rPr>
          <w:sz w:val="23"/>
        </w:rPr>
        <w:t xml:space="preserve"> 03 giugno 2014). </w:t>
      </w:r>
    </w:p>
    <w:sectPr w:rsidR="00AC4A7E" w:rsidSect="00043982">
      <w:footerReference w:type="even" r:id="rId7"/>
      <w:footerReference w:type="default" r:id="rId8"/>
      <w:footerReference w:type="first" r:id="rId9"/>
      <w:pgSz w:w="16840" w:h="11900" w:orient="landscape"/>
      <w:pgMar w:top="840" w:right="843" w:bottom="426" w:left="919" w:header="72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6C688" w14:textId="77777777" w:rsidR="00107A2E" w:rsidRDefault="00043982">
      <w:pPr>
        <w:spacing w:after="0" w:line="240" w:lineRule="auto"/>
      </w:pPr>
      <w:r>
        <w:separator/>
      </w:r>
    </w:p>
  </w:endnote>
  <w:endnote w:type="continuationSeparator" w:id="0">
    <w:p w14:paraId="41759CA4" w14:textId="77777777" w:rsidR="00107A2E" w:rsidRDefault="0004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430C8" w14:textId="77777777" w:rsidR="00AC4A7E" w:rsidRDefault="00043982">
    <w:pPr>
      <w:tabs>
        <w:tab w:val="right" w:pos="15078"/>
      </w:tabs>
      <w:spacing w:after="0" w:line="259" w:lineRule="auto"/>
      <w:ind w:left="0" w:firstLine="0"/>
    </w:pPr>
    <w:r>
      <w:rPr>
        <w:rFonts w:ascii="Courier New" w:eastAsia="Courier New" w:hAnsi="Courier New" w:cs="Courier New"/>
        <w:sz w:val="20"/>
      </w:rPr>
      <w:t xml:space="preserve"> </w:t>
    </w:r>
    <w:r>
      <w:rPr>
        <w:rFonts w:ascii="Courier New" w:eastAsia="Courier New" w:hAnsi="Courier New" w:cs="Courier New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CE94" w14:textId="77777777" w:rsidR="00AC4A7E" w:rsidRDefault="00043982">
    <w:pPr>
      <w:tabs>
        <w:tab w:val="right" w:pos="15078"/>
      </w:tabs>
      <w:spacing w:after="0" w:line="259" w:lineRule="auto"/>
      <w:ind w:left="0" w:firstLine="0"/>
    </w:pPr>
    <w:r>
      <w:rPr>
        <w:rFonts w:ascii="Courier New" w:eastAsia="Courier New" w:hAnsi="Courier New" w:cs="Courier New"/>
        <w:sz w:val="20"/>
      </w:rPr>
      <w:t xml:space="preserve"> </w:t>
    </w:r>
    <w:r>
      <w:rPr>
        <w:rFonts w:ascii="Courier New" w:eastAsia="Courier New" w:hAnsi="Courier New" w:cs="Courier New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E61B" w14:textId="77777777" w:rsidR="00AC4A7E" w:rsidRDefault="00043982">
    <w:pPr>
      <w:tabs>
        <w:tab w:val="right" w:pos="15078"/>
      </w:tabs>
      <w:spacing w:after="0" w:line="259" w:lineRule="auto"/>
      <w:ind w:left="0" w:firstLine="0"/>
    </w:pPr>
    <w:r>
      <w:rPr>
        <w:rFonts w:ascii="Courier New" w:eastAsia="Courier New" w:hAnsi="Courier New" w:cs="Courier New"/>
        <w:sz w:val="20"/>
      </w:rPr>
      <w:t xml:space="preserve"> </w:t>
    </w:r>
    <w:r>
      <w:rPr>
        <w:rFonts w:ascii="Courier New" w:eastAsia="Courier New" w:hAnsi="Courier New" w:cs="Courier New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7942" w14:textId="77777777" w:rsidR="00107A2E" w:rsidRDefault="00043982">
      <w:pPr>
        <w:spacing w:after="0" w:line="240" w:lineRule="auto"/>
      </w:pPr>
      <w:r>
        <w:separator/>
      </w:r>
    </w:p>
  </w:footnote>
  <w:footnote w:type="continuationSeparator" w:id="0">
    <w:p w14:paraId="37B7B4B6" w14:textId="77777777" w:rsidR="00107A2E" w:rsidRDefault="00043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45130"/>
    <w:multiLevelType w:val="hybridMultilevel"/>
    <w:tmpl w:val="A58696F6"/>
    <w:lvl w:ilvl="0" w:tplc="C12E9D52">
      <w:start w:val="1"/>
      <w:numFmt w:val="lowerLetter"/>
      <w:lvlText w:val="%1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E5846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2B502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89FD2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CDA18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C1134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E4166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036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2A40C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F910FF"/>
    <w:multiLevelType w:val="hybridMultilevel"/>
    <w:tmpl w:val="59A2EDDC"/>
    <w:lvl w:ilvl="0" w:tplc="CD388D52">
      <w:start w:val="1"/>
      <w:numFmt w:val="bullet"/>
      <w:lvlText w:val="•"/>
      <w:lvlJc w:val="left"/>
      <w:pPr>
        <w:ind w:left="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D4B2">
      <w:start w:val="1"/>
      <w:numFmt w:val="bullet"/>
      <w:lvlText w:val="o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C7334">
      <w:start w:val="1"/>
      <w:numFmt w:val="bullet"/>
      <w:lvlText w:val="▪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E5284">
      <w:start w:val="1"/>
      <w:numFmt w:val="bullet"/>
      <w:lvlText w:val="•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6FFE4">
      <w:start w:val="1"/>
      <w:numFmt w:val="bullet"/>
      <w:lvlText w:val="o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2F3F4">
      <w:start w:val="1"/>
      <w:numFmt w:val="bullet"/>
      <w:lvlText w:val="▪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81132">
      <w:start w:val="1"/>
      <w:numFmt w:val="bullet"/>
      <w:lvlText w:val="•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6992C">
      <w:start w:val="1"/>
      <w:numFmt w:val="bullet"/>
      <w:lvlText w:val="o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29B18">
      <w:start w:val="1"/>
      <w:numFmt w:val="bullet"/>
      <w:lvlText w:val="▪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8B0E23"/>
    <w:multiLevelType w:val="hybridMultilevel"/>
    <w:tmpl w:val="003ECB20"/>
    <w:lvl w:ilvl="0" w:tplc="39221B76">
      <w:start w:val="1"/>
      <w:numFmt w:val="bullet"/>
      <w:lvlText w:val="-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4DA3E">
      <w:start w:val="1"/>
      <w:numFmt w:val="bullet"/>
      <w:lvlText w:val="o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05A50">
      <w:start w:val="1"/>
      <w:numFmt w:val="bullet"/>
      <w:lvlText w:val="▪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0EDF4">
      <w:start w:val="1"/>
      <w:numFmt w:val="bullet"/>
      <w:lvlText w:val="•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4531E">
      <w:start w:val="1"/>
      <w:numFmt w:val="bullet"/>
      <w:lvlText w:val="o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45170">
      <w:start w:val="1"/>
      <w:numFmt w:val="bullet"/>
      <w:lvlText w:val="▪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E1B4A">
      <w:start w:val="1"/>
      <w:numFmt w:val="bullet"/>
      <w:lvlText w:val="•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4FDFA">
      <w:start w:val="1"/>
      <w:numFmt w:val="bullet"/>
      <w:lvlText w:val="o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8C16C">
      <w:start w:val="1"/>
      <w:numFmt w:val="bullet"/>
      <w:lvlText w:val="▪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197CBC"/>
    <w:multiLevelType w:val="hybridMultilevel"/>
    <w:tmpl w:val="31947EFE"/>
    <w:lvl w:ilvl="0" w:tplc="6952F6E0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A74AC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600CA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F49F2E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678A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4A964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AEDC8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6F49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86926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7E"/>
    <w:rsid w:val="00043982"/>
    <w:rsid w:val="00107A2E"/>
    <w:rsid w:val="00A133E0"/>
    <w:rsid w:val="00A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0DF9C"/>
  <w15:docId w15:val="{9F8FC51B-DEDE-4CAE-9A3D-5826DA8E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1" w:line="268" w:lineRule="auto"/>
      <w:ind w:left="221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4"/>
      <w:ind w:left="2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7DD1B025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- 4 -ALUNNI-BES-SVANTAGGIO-PROTOCOLLO-1</vt:lpstr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- 4 -ALUNNI-BES-SVANTAGGIO-PROTOCOLLO-1</dc:title>
  <dc:subject/>
  <dc:creator>s.facheris</dc:creator>
  <cp:keywords/>
  <cp:lastModifiedBy>Casati, Fabio</cp:lastModifiedBy>
  <cp:revision>2</cp:revision>
  <dcterms:created xsi:type="dcterms:W3CDTF">2021-03-25T11:24:00Z</dcterms:created>
  <dcterms:modified xsi:type="dcterms:W3CDTF">2021-03-25T11:24:00Z</dcterms:modified>
</cp:coreProperties>
</file>