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42" w:type="dxa"/>
        <w:tblLayout w:type="fixed"/>
        <w:tblCellMar>
          <w:left w:w="0" w:type="dxa"/>
          <w:right w:w="0" w:type="dxa"/>
        </w:tblCellMar>
        <w:tblLook w:val="0000" w:firstRow="0" w:lastRow="0" w:firstColumn="0" w:lastColumn="0" w:noHBand="0" w:noVBand="0"/>
      </w:tblPr>
      <w:tblGrid>
        <w:gridCol w:w="4537"/>
        <w:gridCol w:w="709"/>
        <w:gridCol w:w="4110"/>
      </w:tblGrid>
      <w:tr w:rsidR="00365A5C" w:rsidRPr="00365A5C" w14:paraId="5708EC39" w14:textId="77777777" w:rsidTr="006864C0">
        <w:tc>
          <w:tcPr>
            <w:tcW w:w="4537" w:type="dxa"/>
          </w:tcPr>
          <w:p w14:paraId="42498C12" w14:textId="77777777" w:rsidR="00365A5C" w:rsidRPr="00365A5C" w:rsidRDefault="00365A5C" w:rsidP="00365A5C">
            <w:pPr>
              <w:numPr>
                <w:ilvl w:val="1"/>
                <w:numId w:val="5"/>
              </w:numPr>
              <w:rPr>
                <w:b/>
                <w:lang w:val="it-IT"/>
              </w:rPr>
            </w:pPr>
            <w:proofErr w:type="spellStart"/>
            <w:r w:rsidRPr="00365A5C">
              <w:rPr>
                <w:b/>
                <w:lang w:val="it-IT"/>
              </w:rPr>
              <w:t>Einzahlung</w:t>
            </w:r>
            <w:proofErr w:type="spellEnd"/>
            <w:r w:rsidRPr="00365A5C">
              <w:rPr>
                <w:b/>
                <w:lang w:val="it-IT"/>
              </w:rPr>
              <w:t xml:space="preserve"> an die ANAC</w:t>
            </w:r>
          </w:p>
          <w:p w14:paraId="1A8F562C" w14:textId="77777777" w:rsidR="00365A5C" w:rsidRPr="00365A5C" w:rsidRDefault="00365A5C" w:rsidP="00365A5C">
            <w:pPr>
              <w:rPr>
                <w:b/>
                <w:lang w:val="it-IT"/>
              </w:rPr>
            </w:pPr>
          </w:p>
        </w:tc>
        <w:tc>
          <w:tcPr>
            <w:tcW w:w="709" w:type="dxa"/>
          </w:tcPr>
          <w:p w14:paraId="07E9A257" w14:textId="77777777" w:rsidR="00365A5C" w:rsidRPr="00365A5C" w:rsidRDefault="00365A5C" w:rsidP="00365A5C">
            <w:pPr>
              <w:rPr>
                <w:b/>
                <w:lang w:val="it-IT"/>
              </w:rPr>
            </w:pPr>
          </w:p>
        </w:tc>
        <w:tc>
          <w:tcPr>
            <w:tcW w:w="4110" w:type="dxa"/>
          </w:tcPr>
          <w:p w14:paraId="29059A9B" w14:textId="77777777" w:rsidR="00365A5C" w:rsidRPr="00365A5C" w:rsidRDefault="00365A5C" w:rsidP="00365A5C">
            <w:pPr>
              <w:rPr>
                <w:b/>
                <w:lang w:val="it-IT"/>
              </w:rPr>
            </w:pPr>
            <w:r w:rsidRPr="00365A5C">
              <w:rPr>
                <w:b/>
                <w:lang w:val="it-IT"/>
              </w:rPr>
              <w:t>2.3 Versamento all’ANAC</w:t>
            </w:r>
          </w:p>
        </w:tc>
      </w:tr>
      <w:tr w:rsidR="00365A5C" w:rsidRPr="0005194A" w14:paraId="4288880D" w14:textId="77777777" w:rsidTr="006864C0">
        <w:tc>
          <w:tcPr>
            <w:tcW w:w="4537" w:type="dxa"/>
          </w:tcPr>
          <w:p w14:paraId="0C5B1E3A" w14:textId="5C5F5164" w:rsidR="00365A5C" w:rsidRPr="0005194A" w:rsidRDefault="00365A5C" w:rsidP="00061B83">
            <w:pPr>
              <w:jc w:val="both"/>
              <w:rPr>
                <w:i/>
                <w:color w:val="0070C0"/>
              </w:rPr>
            </w:pPr>
            <w:r w:rsidRPr="0005194A">
              <w:rPr>
                <w:i/>
                <w:color w:val="0070C0"/>
              </w:rPr>
              <w:t xml:space="preserve">(Nur für Ausschreibungsbetrag gleich oder höher als 150.000 mit Bezug auf jedes einzelne </w:t>
            </w:r>
            <w:r w:rsidR="0005194A">
              <w:rPr>
                <w:i/>
                <w:color w:val="0070C0"/>
              </w:rPr>
              <w:t>L</w:t>
            </w:r>
            <w:r w:rsidRPr="0005194A">
              <w:rPr>
                <w:i/>
                <w:color w:val="0070C0"/>
              </w:rPr>
              <w:t>os im Falle von mehreren Lose</w:t>
            </w:r>
            <w:bookmarkStart w:id="0" w:name="_GoBack"/>
            <w:bookmarkEnd w:id="0"/>
            <w:r w:rsidRPr="0005194A">
              <w:rPr>
                <w:i/>
                <w:color w:val="0070C0"/>
              </w:rPr>
              <w:t>n)</w:t>
            </w:r>
            <w:r w:rsidR="00061B83" w:rsidRPr="0005194A">
              <w:rPr>
                <w:i/>
                <w:color w:val="0070C0"/>
              </w:rPr>
              <w:t>.</w:t>
            </w:r>
          </w:p>
        </w:tc>
        <w:tc>
          <w:tcPr>
            <w:tcW w:w="709" w:type="dxa"/>
          </w:tcPr>
          <w:p w14:paraId="1EA3508B" w14:textId="77777777" w:rsidR="00365A5C" w:rsidRPr="0005194A" w:rsidRDefault="00365A5C" w:rsidP="00061B83">
            <w:pPr>
              <w:jc w:val="both"/>
              <w:rPr>
                <w:i/>
                <w:color w:val="0070C0"/>
              </w:rPr>
            </w:pPr>
          </w:p>
        </w:tc>
        <w:tc>
          <w:tcPr>
            <w:tcW w:w="4110" w:type="dxa"/>
          </w:tcPr>
          <w:p w14:paraId="7A55A42F" w14:textId="6D6DE041" w:rsidR="00365A5C" w:rsidRPr="0005194A" w:rsidRDefault="00365A5C" w:rsidP="00061B83">
            <w:pPr>
              <w:jc w:val="both"/>
              <w:rPr>
                <w:i/>
                <w:color w:val="0070C0"/>
                <w:lang w:val="it-IT"/>
              </w:rPr>
            </w:pPr>
            <w:r w:rsidRPr="0005194A">
              <w:rPr>
                <w:i/>
                <w:color w:val="0070C0"/>
                <w:lang w:val="it-IT"/>
              </w:rPr>
              <w:t xml:space="preserve">(solo per importo a base di gara uguale o superiore a </w:t>
            </w:r>
            <w:proofErr w:type="gramStart"/>
            <w:r w:rsidRPr="0005194A">
              <w:rPr>
                <w:i/>
                <w:color w:val="0070C0"/>
                <w:lang w:val="it-IT"/>
              </w:rPr>
              <w:t>150.000,-</w:t>
            </w:r>
            <w:proofErr w:type="gramEnd"/>
            <w:r w:rsidRPr="0005194A">
              <w:rPr>
                <w:i/>
                <w:color w:val="0070C0"/>
                <w:lang w:val="it-IT"/>
              </w:rPr>
              <w:t xml:space="preserve"> in relazione a ciascun singolo lotto in caso di presenza di più lotti)</w:t>
            </w:r>
            <w:r w:rsidR="00061B83" w:rsidRPr="0005194A">
              <w:rPr>
                <w:i/>
                <w:color w:val="0070C0"/>
                <w:lang w:val="it-IT"/>
              </w:rPr>
              <w:t>.</w:t>
            </w:r>
          </w:p>
        </w:tc>
      </w:tr>
      <w:tr w:rsidR="00365A5C" w:rsidRPr="0005194A" w14:paraId="1ADB6C7B" w14:textId="77777777" w:rsidTr="006864C0">
        <w:tc>
          <w:tcPr>
            <w:tcW w:w="4537" w:type="dxa"/>
          </w:tcPr>
          <w:p w14:paraId="0AD820A2" w14:textId="77777777" w:rsidR="00365A5C" w:rsidRPr="00365A5C" w:rsidRDefault="00365A5C" w:rsidP="00365A5C">
            <w:pPr>
              <w:rPr>
                <w:lang w:val="it-IT"/>
              </w:rPr>
            </w:pPr>
          </w:p>
        </w:tc>
        <w:tc>
          <w:tcPr>
            <w:tcW w:w="709" w:type="dxa"/>
          </w:tcPr>
          <w:p w14:paraId="2068AC63" w14:textId="77777777" w:rsidR="00365A5C" w:rsidRPr="00365A5C" w:rsidRDefault="00365A5C" w:rsidP="00365A5C">
            <w:pPr>
              <w:rPr>
                <w:lang w:val="it-IT"/>
              </w:rPr>
            </w:pPr>
          </w:p>
        </w:tc>
        <w:tc>
          <w:tcPr>
            <w:tcW w:w="4110" w:type="dxa"/>
          </w:tcPr>
          <w:p w14:paraId="6AAA1B05" w14:textId="77777777" w:rsidR="00365A5C" w:rsidRPr="00365A5C" w:rsidRDefault="00365A5C" w:rsidP="00365A5C">
            <w:pPr>
              <w:rPr>
                <w:lang w:val="it-IT"/>
              </w:rPr>
            </w:pPr>
          </w:p>
        </w:tc>
      </w:tr>
      <w:tr w:rsidR="00365A5C" w:rsidRPr="0005194A" w14:paraId="2FF92ACC" w14:textId="77777777" w:rsidTr="006864C0">
        <w:tc>
          <w:tcPr>
            <w:tcW w:w="4537" w:type="dxa"/>
          </w:tcPr>
          <w:p w14:paraId="6EDD601B" w14:textId="77777777" w:rsidR="00365A5C" w:rsidRPr="00365A5C" w:rsidRDefault="00365A5C" w:rsidP="004C6A12">
            <w:pPr>
              <w:jc w:val="both"/>
            </w:pPr>
            <w:r w:rsidRPr="00365A5C">
              <w:rPr>
                <w:rFonts w:ascii="Arial" w:hAnsi="Arial" w:cs="Arial"/>
                <w:b/>
              </w:rPr>
              <w:t>►</w:t>
            </w:r>
            <w:r w:rsidRPr="00365A5C">
              <w:t>Für die Teilnahme an gegenständlicher Ausschreibung ist b</w:t>
            </w:r>
            <w:r w:rsidRPr="00365A5C">
              <w:rPr>
                <w:bCs/>
              </w:rPr>
              <w:t>ei sonstigem Ausschluss</w:t>
            </w:r>
            <w:r w:rsidRPr="00365A5C">
              <w:t xml:space="preserve"> die Gebühr von </w:t>
            </w:r>
          </w:p>
          <w:p w14:paraId="3DBCD934" w14:textId="77777777" w:rsidR="00365A5C" w:rsidRPr="00365A5C" w:rsidRDefault="00365A5C" w:rsidP="004C6A12">
            <w:pPr>
              <w:jc w:val="both"/>
              <w:rPr>
                <w:b/>
                <w:bCs/>
                <w:lang w:val="es-ES"/>
              </w:rPr>
            </w:pPr>
            <w:r w:rsidRPr="00365A5C">
              <w:rPr>
                <w:b/>
                <w:bCs/>
              </w:rPr>
              <w:t xml:space="preserve">Los 1 </w:t>
            </w:r>
            <w:r w:rsidRPr="00365A5C">
              <w:rPr>
                <w:b/>
                <w:bCs/>
              </w:rPr>
              <w:fldChar w:fldCharType="begin">
                <w:ffData>
                  <w:name w:val="Testo204"/>
                  <w:enabled/>
                  <w:calcOnExit w:val="0"/>
                  <w:textInput/>
                </w:ffData>
              </w:fldChar>
            </w:r>
            <w:r w:rsidRPr="00365A5C">
              <w:rPr>
                <w:b/>
                <w:bCs/>
              </w:rPr>
              <w:instrText xml:space="preserve"> FORMTEXT </w:instrText>
            </w:r>
            <w:r w:rsidRPr="00365A5C">
              <w:rPr>
                <w:b/>
                <w:bCs/>
              </w:rPr>
            </w:r>
            <w:r w:rsidRPr="00365A5C">
              <w:rPr>
                <w:b/>
                <w:bCs/>
              </w:rPr>
              <w:fldChar w:fldCharType="separate"/>
            </w:r>
            <w:r w:rsidRPr="00365A5C">
              <w:rPr>
                <w:b/>
                <w:bCs/>
              </w:rPr>
              <w:t> </w:t>
            </w:r>
            <w:r w:rsidRPr="00365A5C">
              <w:rPr>
                <w:b/>
                <w:bCs/>
              </w:rPr>
              <w:t> </w:t>
            </w:r>
            <w:r w:rsidRPr="00365A5C">
              <w:rPr>
                <w:b/>
                <w:bCs/>
              </w:rPr>
              <w:t> </w:t>
            </w:r>
            <w:r w:rsidRPr="00365A5C">
              <w:rPr>
                <w:b/>
                <w:bCs/>
              </w:rPr>
              <w:t> </w:t>
            </w:r>
            <w:r w:rsidRPr="00365A5C">
              <w:rPr>
                <w:b/>
                <w:bCs/>
              </w:rPr>
              <w:t> </w:t>
            </w:r>
            <w:r w:rsidRPr="00365A5C">
              <w:rPr>
                <w:lang w:val="it-IT"/>
              </w:rPr>
              <w:fldChar w:fldCharType="end"/>
            </w:r>
            <w:r w:rsidRPr="00365A5C">
              <w:rPr>
                <w:b/>
                <w:bCs/>
              </w:rPr>
              <w:t xml:space="preserve"> </w:t>
            </w:r>
            <w:r w:rsidRPr="00365A5C">
              <w:rPr>
                <w:b/>
                <w:bCs/>
                <w:lang w:val="es-ES"/>
              </w:rPr>
              <w:t>Euro (</w:t>
            </w:r>
            <w:bookmarkStart w:id="1" w:name="Testo205"/>
            <w:r w:rsidRPr="00365A5C">
              <w:rPr>
                <w:b/>
                <w:bCs/>
                <w:lang w:val="es-ES"/>
              </w:rPr>
              <w:fldChar w:fldCharType="begin">
                <w:ffData>
                  <w:name w:val="Testo205"/>
                  <w:enabled/>
                  <w:calcOnExit w:val="0"/>
                  <w:textInput/>
                </w:ffData>
              </w:fldChar>
            </w:r>
            <w:r w:rsidRPr="00365A5C">
              <w:rPr>
                <w:b/>
                <w:bCs/>
                <w:lang w:val="es-ES"/>
              </w:rPr>
              <w:instrText xml:space="preserve"> FORMTEXT </w:instrText>
            </w:r>
            <w:r w:rsidRPr="00365A5C">
              <w:rPr>
                <w:b/>
                <w:bCs/>
                <w:lang w:val="es-ES"/>
              </w:rPr>
            </w:r>
            <w:r w:rsidRPr="00365A5C">
              <w:rPr>
                <w:b/>
                <w:bCs/>
                <w:lang w:val="es-ES"/>
              </w:rPr>
              <w:fldChar w:fldCharType="separate"/>
            </w:r>
            <w:r w:rsidRPr="00365A5C">
              <w:rPr>
                <w:b/>
                <w:bCs/>
                <w:lang w:val="es-ES"/>
              </w:rPr>
              <w:t> </w:t>
            </w:r>
            <w:r w:rsidRPr="00365A5C">
              <w:rPr>
                <w:b/>
                <w:bCs/>
                <w:lang w:val="es-ES"/>
              </w:rPr>
              <w:t> </w:t>
            </w:r>
            <w:r w:rsidRPr="00365A5C">
              <w:rPr>
                <w:b/>
                <w:bCs/>
                <w:lang w:val="es-ES"/>
              </w:rPr>
              <w:t> </w:t>
            </w:r>
            <w:r w:rsidRPr="00365A5C">
              <w:rPr>
                <w:b/>
                <w:bCs/>
                <w:lang w:val="es-ES"/>
              </w:rPr>
              <w:t> </w:t>
            </w:r>
            <w:r w:rsidRPr="00365A5C">
              <w:rPr>
                <w:b/>
                <w:bCs/>
                <w:lang w:val="es-ES"/>
              </w:rPr>
              <w:t> </w:t>
            </w:r>
            <w:r w:rsidRPr="00365A5C">
              <w:rPr>
                <w:lang w:val="it-IT"/>
              </w:rPr>
              <w:fldChar w:fldCharType="end"/>
            </w:r>
            <w:bookmarkEnd w:id="1"/>
            <w:r w:rsidRPr="00365A5C">
              <w:rPr>
                <w:b/>
                <w:bCs/>
                <w:lang w:val="es-ES"/>
              </w:rPr>
              <w:t>/00),</w:t>
            </w:r>
          </w:p>
          <w:p w14:paraId="10E5813A" w14:textId="77777777" w:rsidR="00365A5C" w:rsidRPr="00365A5C" w:rsidRDefault="00365A5C" w:rsidP="004C6A12">
            <w:pPr>
              <w:jc w:val="both"/>
              <w:rPr>
                <w:b/>
                <w:bCs/>
                <w:lang w:val="es-ES"/>
              </w:rPr>
            </w:pPr>
            <w:r w:rsidRPr="00365A5C">
              <w:rPr>
                <w:b/>
                <w:bCs/>
              </w:rPr>
              <w:t xml:space="preserve">Los 2 </w:t>
            </w:r>
            <w:r w:rsidRPr="00365A5C">
              <w:rPr>
                <w:b/>
                <w:bCs/>
              </w:rPr>
              <w:fldChar w:fldCharType="begin">
                <w:ffData>
                  <w:name w:val="Testo204"/>
                  <w:enabled/>
                  <w:calcOnExit w:val="0"/>
                  <w:textInput/>
                </w:ffData>
              </w:fldChar>
            </w:r>
            <w:r w:rsidRPr="00365A5C">
              <w:rPr>
                <w:b/>
                <w:bCs/>
              </w:rPr>
              <w:instrText xml:space="preserve"> FORMTEXT </w:instrText>
            </w:r>
            <w:r w:rsidRPr="00365A5C">
              <w:rPr>
                <w:b/>
                <w:bCs/>
              </w:rPr>
            </w:r>
            <w:r w:rsidRPr="00365A5C">
              <w:rPr>
                <w:b/>
                <w:bCs/>
              </w:rPr>
              <w:fldChar w:fldCharType="separate"/>
            </w:r>
            <w:r w:rsidRPr="00365A5C">
              <w:rPr>
                <w:b/>
                <w:bCs/>
              </w:rPr>
              <w:t> </w:t>
            </w:r>
            <w:r w:rsidRPr="00365A5C">
              <w:rPr>
                <w:b/>
                <w:bCs/>
              </w:rPr>
              <w:t> </w:t>
            </w:r>
            <w:r w:rsidRPr="00365A5C">
              <w:rPr>
                <w:b/>
                <w:bCs/>
              </w:rPr>
              <w:t> </w:t>
            </w:r>
            <w:r w:rsidRPr="00365A5C">
              <w:rPr>
                <w:b/>
                <w:bCs/>
              </w:rPr>
              <w:t> </w:t>
            </w:r>
            <w:r w:rsidRPr="00365A5C">
              <w:rPr>
                <w:b/>
                <w:bCs/>
              </w:rPr>
              <w:t> </w:t>
            </w:r>
            <w:r w:rsidRPr="00365A5C">
              <w:rPr>
                <w:lang w:val="it-IT"/>
              </w:rPr>
              <w:fldChar w:fldCharType="end"/>
            </w:r>
            <w:r w:rsidRPr="00365A5C">
              <w:rPr>
                <w:b/>
                <w:bCs/>
              </w:rPr>
              <w:t xml:space="preserve"> </w:t>
            </w:r>
            <w:r w:rsidRPr="00365A5C">
              <w:rPr>
                <w:b/>
                <w:bCs/>
                <w:lang w:val="es-ES"/>
              </w:rPr>
              <w:t>Euro (</w:t>
            </w:r>
            <w:r w:rsidRPr="00365A5C">
              <w:rPr>
                <w:b/>
                <w:bCs/>
                <w:lang w:val="es-ES"/>
              </w:rPr>
              <w:fldChar w:fldCharType="begin">
                <w:ffData>
                  <w:name w:val="Testo205"/>
                  <w:enabled/>
                  <w:calcOnExit w:val="0"/>
                  <w:textInput/>
                </w:ffData>
              </w:fldChar>
            </w:r>
            <w:r w:rsidRPr="00365A5C">
              <w:rPr>
                <w:b/>
                <w:bCs/>
                <w:lang w:val="es-ES"/>
              </w:rPr>
              <w:instrText xml:space="preserve"> FORMTEXT </w:instrText>
            </w:r>
            <w:r w:rsidRPr="00365A5C">
              <w:rPr>
                <w:b/>
                <w:bCs/>
                <w:lang w:val="es-ES"/>
              </w:rPr>
            </w:r>
            <w:r w:rsidRPr="00365A5C">
              <w:rPr>
                <w:b/>
                <w:bCs/>
                <w:lang w:val="es-ES"/>
              </w:rPr>
              <w:fldChar w:fldCharType="separate"/>
            </w:r>
            <w:r w:rsidRPr="00365A5C">
              <w:rPr>
                <w:b/>
                <w:bCs/>
                <w:lang w:val="es-ES"/>
              </w:rPr>
              <w:t> </w:t>
            </w:r>
            <w:r w:rsidRPr="00365A5C">
              <w:rPr>
                <w:b/>
                <w:bCs/>
                <w:lang w:val="es-ES"/>
              </w:rPr>
              <w:t> </w:t>
            </w:r>
            <w:r w:rsidRPr="00365A5C">
              <w:rPr>
                <w:b/>
                <w:bCs/>
                <w:lang w:val="es-ES"/>
              </w:rPr>
              <w:t> </w:t>
            </w:r>
            <w:r w:rsidRPr="00365A5C">
              <w:rPr>
                <w:b/>
                <w:bCs/>
                <w:lang w:val="es-ES"/>
              </w:rPr>
              <w:t> </w:t>
            </w:r>
            <w:r w:rsidRPr="00365A5C">
              <w:rPr>
                <w:b/>
                <w:bCs/>
                <w:lang w:val="es-ES"/>
              </w:rPr>
              <w:t> </w:t>
            </w:r>
            <w:r w:rsidRPr="00365A5C">
              <w:rPr>
                <w:lang w:val="it-IT"/>
              </w:rPr>
              <w:fldChar w:fldCharType="end"/>
            </w:r>
            <w:r w:rsidRPr="00365A5C">
              <w:rPr>
                <w:b/>
                <w:bCs/>
                <w:lang w:val="es-ES"/>
              </w:rPr>
              <w:t>/00)</w:t>
            </w:r>
          </w:p>
          <w:p w14:paraId="6C3AA483" w14:textId="77777777" w:rsidR="004C6A12" w:rsidRDefault="00365A5C" w:rsidP="004C6A12">
            <w:pPr>
              <w:jc w:val="both"/>
            </w:pPr>
            <w:r w:rsidRPr="00365A5C">
              <w:t>gemäß Art. 1 Abs. 65 G. vom 23.12.2005 Nr. 266 (Finanzgesetz 2006) an die Antikorruptionsbehörde ANAC gemäß den Modalitäten und Anweisungen</w:t>
            </w:r>
            <w:r w:rsidRPr="00365A5C">
              <w:rPr>
                <w:b/>
              </w:rPr>
              <w:t xml:space="preserve">, </w:t>
            </w:r>
            <w:r w:rsidRPr="00365A5C">
              <w:t>die von der ANAC auf der Internetseite</w:t>
            </w:r>
            <w:r w:rsidR="006864C0" w:rsidRPr="006864C0">
              <w:rPr>
                <w:rStyle w:val="Hyperlink"/>
                <w:highlight w:val="yellow"/>
              </w:rPr>
              <w:t xml:space="preserve"> http://www.anticorruzione.it/portal/public/classic/Servizi/ServiziOnline/Portaledeipagamenti</w:t>
            </w:r>
            <w:r w:rsidRPr="00365A5C">
              <w:t xml:space="preserve"> aufgestellt werden, zu entrichten</w:t>
            </w:r>
            <w:r w:rsidR="004C6A12">
              <w:t>.</w:t>
            </w:r>
            <w:r w:rsidRPr="00365A5C">
              <w:t xml:space="preserve"> </w:t>
            </w:r>
          </w:p>
          <w:p w14:paraId="4F9B3FAC" w14:textId="20C6168D" w:rsidR="00365A5C" w:rsidRPr="00365A5C" w:rsidRDefault="00365A5C" w:rsidP="004C6A12">
            <w:pPr>
              <w:jc w:val="both"/>
            </w:pPr>
            <w:r w:rsidRPr="00365A5C">
              <w:t>(siehe hierzu Beschluss Nr. 1174 vom 19.12.2018 und die entsprechenden Anweisungen, in Kraft seit dem 01.01.2019).</w:t>
            </w:r>
          </w:p>
        </w:tc>
        <w:tc>
          <w:tcPr>
            <w:tcW w:w="709" w:type="dxa"/>
          </w:tcPr>
          <w:p w14:paraId="11E68CC4" w14:textId="77777777" w:rsidR="00365A5C" w:rsidRPr="00365A5C" w:rsidRDefault="00365A5C" w:rsidP="004C6A12">
            <w:pPr>
              <w:jc w:val="both"/>
            </w:pPr>
          </w:p>
        </w:tc>
        <w:tc>
          <w:tcPr>
            <w:tcW w:w="4110" w:type="dxa"/>
          </w:tcPr>
          <w:p w14:paraId="54B30887" w14:textId="77777777" w:rsidR="00365A5C" w:rsidRPr="00365A5C" w:rsidRDefault="00365A5C" w:rsidP="004C6A12">
            <w:pPr>
              <w:jc w:val="both"/>
              <w:rPr>
                <w:b/>
                <w:bCs/>
                <w:lang w:val="it-IT"/>
              </w:rPr>
            </w:pPr>
            <w:r w:rsidRPr="00365A5C">
              <w:rPr>
                <w:rFonts w:ascii="Arial" w:hAnsi="Arial" w:cs="Arial"/>
                <w:lang w:val="it-IT"/>
              </w:rPr>
              <w:t>►</w:t>
            </w:r>
            <w:bookmarkStart w:id="2" w:name="_Hlk10632550"/>
            <w:r w:rsidRPr="00365A5C">
              <w:rPr>
                <w:lang w:val="it-IT"/>
              </w:rPr>
              <w:t>Deve essere eseguito, a pena di esclusione, il pagamento a favore dell’ANAC, dell’importo di</w:t>
            </w:r>
            <w:r w:rsidRPr="00365A5C">
              <w:rPr>
                <w:b/>
                <w:bCs/>
                <w:lang w:val="it-IT"/>
              </w:rPr>
              <w:t xml:space="preserve"> </w:t>
            </w:r>
          </w:p>
          <w:p w14:paraId="735B0E43" w14:textId="77777777" w:rsidR="00365A5C" w:rsidRPr="00365A5C" w:rsidRDefault="00365A5C" w:rsidP="004C6A12">
            <w:pPr>
              <w:jc w:val="both"/>
              <w:rPr>
                <w:b/>
                <w:bCs/>
                <w:lang w:val="it-IT"/>
              </w:rPr>
            </w:pPr>
            <w:r w:rsidRPr="00365A5C">
              <w:rPr>
                <w:b/>
                <w:bCs/>
                <w:lang w:val="it-IT"/>
              </w:rPr>
              <w:t xml:space="preserve">Lotto 1 euro </w:t>
            </w:r>
            <w:r w:rsidRPr="00365A5C">
              <w:rPr>
                <w:b/>
                <w:bCs/>
              </w:rPr>
              <w:fldChar w:fldCharType="begin">
                <w:ffData>
                  <w:name w:val="Testo204"/>
                  <w:enabled/>
                  <w:calcOnExit w:val="0"/>
                  <w:textInput/>
                </w:ffData>
              </w:fldChar>
            </w:r>
            <w:r w:rsidRPr="00365A5C">
              <w:rPr>
                <w:b/>
                <w:bCs/>
                <w:lang w:val="it-IT"/>
              </w:rPr>
              <w:instrText xml:space="preserve"> FORMTEXT </w:instrText>
            </w:r>
            <w:r w:rsidRPr="00365A5C">
              <w:rPr>
                <w:b/>
                <w:bCs/>
              </w:rPr>
            </w:r>
            <w:r w:rsidRPr="00365A5C">
              <w:rPr>
                <w:b/>
                <w:bCs/>
              </w:rPr>
              <w:fldChar w:fldCharType="separate"/>
            </w:r>
            <w:r w:rsidRPr="00365A5C">
              <w:rPr>
                <w:b/>
                <w:bCs/>
              </w:rPr>
              <w:t> </w:t>
            </w:r>
            <w:r w:rsidRPr="00365A5C">
              <w:rPr>
                <w:b/>
                <w:bCs/>
              </w:rPr>
              <w:t> </w:t>
            </w:r>
            <w:r w:rsidRPr="00365A5C">
              <w:rPr>
                <w:b/>
                <w:bCs/>
              </w:rPr>
              <w:t> </w:t>
            </w:r>
            <w:r w:rsidRPr="00365A5C">
              <w:rPr>
                <w:b/>
                <w:bCs/>
              </w:rPr>
              <w:t> </w:t>
            </w:r>
            <w:r w:rsidRPr="00365A5C">
              <w:rPr>
                <w:b/>
                <w:bCs/>
              </w:rPr>
              <w:t> </w:t>
            </w:r>
            <w:r w:rsidRPr="00365A5C">
              <w:rPr>
                <w:lang w:val="it-IT"/>
              </w:rPr>
              <w:fldChar w:fldCharType="end"/>
            </w:r>
            <w:r w:rsidRPr="00365A5C">
              <w:rPr>
                <w:b/>
                <w:bCs/>
                <w:lang w:val="it-IT"/>
              </w:rPr>
              <w:t xml:space="preserve"> (</w:t>
            </w:r>
            <w:r w:rsidRPr="00365A5C">
              <w:rPr>
                <w:b/>
                <w:bCs/>
              </w:rPr>
              <w:fldChar w:fldCharType="begin">
                <w:ffData>
                  <w:name w:val="Testo204"/>
                  <w:enabled/>
                  <w:calcOnExit w:val="0"/>
                  <w:textInput/>
                </w:ffData>
              </w:fldChar>
            </w:r>
            <w:r w:rsidRPr="00365A5C">
              <w:rPr>
                <w:b/>
                <w:bCs/>
                <w:lang w:val="it-IT"/>
              </w:rPr>
              <w:instrText xml:space="preserve"> FORMTEXT </w:instrText>
            </w:r>
            <w:r w:rsidRPr="00365A5C">
              <w:rPr>
                <w:b/>
                <w:bCs/>
              </w:rPr>
            </w:r>
            <w:r w:rsidRPr="00365A5C">
              <w:rPr>
                <w:b/>
                <w:bCs/>
              </w:rPr>
              <w:fldChar w:fldCharType="separate"/>
            </w:r>
            <w:r w:rsidRPr="00365A5C">
              <w:rPr>
                <w:b/>
                <w:bCs/>
              </w:rPr>
              <w:t> </w:t>
            </w:r>
            <w:r w:rsidRPr="00365A5C">
              <w:rPr>
                <w:b/>
                <w:bCs/>
              </w:rPr>
              <w:t> </w:t>
            </w:r>
            <w:r w:rsidRPr="00365A5C">
              <w:rPr>
                <w:b/>
                <w:bCs/>
              </w:rPr>
              <w:t> </w:t>
            </w:r>
            <w:r w:rsidRPr="00365A5C">
              <w:rPr>
                <w:b/>
                <w:bCs/>
              </w:rPr>
              <w:t> </w:t>
            </w:r>
            <w:r w:rsidRPr="00365A5C">
              <w:rPr>
                <w:b/>
                <w:bCs/>
              </w:rPr>
              <w:t> </w:t>
            </w:r>
            <w:r w:rsidRPr="00365A5C">
              <w:rPr>
                <w:lang w:val="it-IT"/>
              </w:rPr>
              <w:fldChar w:fldCharType="end"/>
            </w:r>
            <w:r w:rsidRPr="00365A5C">
              <w:rPr>
                <w:b/>
                <w:bCs/>
                <w:lang w:val="it-IT"/>
              </w:rPr>
              <w:t>/00),</w:t>
            </w:r>
          </w:p>
          <w:p w14:paraId="073F1DC6" w14:textId="77777777" w:rsidR="00365A5C" w:rsidRPr="00365A5C" w:rsidRDefault="00365A5C" w:rsidP="004C6A12">
            <w:pPr>
              <w:jc w:val="both"/>
              <w:rPr>
                <w:b/>
                <w:bCs/>
                <w:lang w:val="it-IT"/>
              </w:rPr>
            </w:pPr>
            <w:r w:rsidRPr="00365A5C">
              <w:rPr>
                <w:b/>
                <w:bCs/>
                <w:lang w:val="it-IT"/>
              </w:rPr>
              <w:t xml:space="preserve">Lotto 2 euro </w:t>
            </w:r>
            <w:r w:rsidRPr="00365A5C">
              <w:rPr>
                <w:b/>
                <w:bCs/>
              </w:rPr>
              <w:fldChar w:fldCharType="begin">
                <w:ffData>
                  <w:name w:val="Testo204"/>
                  <w:enabled/>
                  <w:calcOnExit w:val="0"/>
                  <w:textInput/>
                </w:ffData>
              </w:fldChar>
            </w:r>
            <w:r w:rsidRPr="00365A5C">
              <w:rPr>
                <w:b/>
                <w:bCs/>
                <w:lang w:val="it-IT"/>
              </w:rPr>
              <w:instrText xml:space="preserve"> FORMTEXT </w:instrText>
            </w:r>
            <w:r w:rsidRPr="00365A5C">
              <w:rPr>
                <w:b/>
                <w:bCs/>
              </w:rPr>
            </w:r>
            <w:r w:rsidRPr="00365A5C">
              <w:rPr>
                <w:b/>
                <w:bCs/>
              </w:rPr>
              <w:fldChar w:fldCharType="separate"/>
            </w:r>
            <w:r w:rsidRPr="00365A5C">
              <w:rPr>
                <w:b/>
                <w:bCs/>
              </w:rPr>
              <w:t> </w:t>
            </w:r>
            <w:r w:rsidRPr="00365A5C">
              <w:rPr>
                <w:b/>
                <w:bCs/>
              </w:rPr>
              <w:t> </w:t>
            </w:r>
            <w:r w:rsidRPr="00365A5C">
              <w:rPr>
                <w:b/>
                <w:bCs/>
              </w:rPr>
              <w:t> </w:t>
            </w:r>
            <w:r w:rsidRPr="00365A5C">
              <w:rPr>
                <w:b/>
                <w:bCs/>
              </w:rPr>
              <w:t> </w:t>
            </w:r>
            <w:r w:rsidRPr="00365A5C">
              <w:rPr>
                <w:b/>
                <w:bCs/>
              </w:rPr>
              <w:t> </w:t>
            </w:r>
            <w:r w:rsidRPr="00365A5C">
              <w:rPr>
                <w:lang w:val="it-IT"/>
              </w:rPr>
              <w:fldChar w:fldCharType="end"/>
            </w:r>
            <w:r w:rsidRPr="00365A5C">
              <w:rPr>
                <w:b/>
                <w:bCs/>
                <w:lang w:val="it-IT"/>
              </w:rPr>
              <w:t xml:space="preserve"> (</w:t>
            </w:r>
            <w:r w:rsidRPr="00365A5C">
              <w:rPr>
                <w:b/>
                <w:bCs/>
              </w:rPr>
              <w:fldChar w:fldCharType="begin">
                <w:ffData>
                  <w:name w:val="Testo204"/>
                  <w:enabled/>
                  <w:calcOnExit w:val="0"/>
                  <w:textInput/>
                </w:ffData>
              </w:fldChar>
            </w:r>
            <w:r w:rsidRPr="00365A5C">
              <w:rPr>
                <w:b/>
                <w:bCs/>
                <w:lang w:val="it-IT"/>
              </w:rPr>
              <w:instrText xml:space="preserve"> FORMTEXT </w:instrText>
            </w:r>
            <w:r w:rsidRPr="00365A5C">
              <w:rPr>
                <w:b/>
                <w:bCs/>
              </w:rPr>
            </w:r>
            <w:r w:rsidRPr="00365A5C">
              <w:rPr>
                <w:b/>
                <w:bCs/>
              </w:rPr>
              <w:fldChar w:fldCharType="separate"/>
            </w:r>
            <w:r w:rsidRPr="00365A5C">
              <w:rPr>
                <w:b/>
                <w:bCs/>
              </w:rPr>
              <w:t> </w:t>
            </w:r>
            <w:r w:rsidRPr="00365A5C">
              <w:rPr>
                <w:b/>
                <w:bCs/>
              </w:rPr>
              <w:t> </w:t>
            </w:r>
            <w:r w:rsidRPr="00365A5C">
              <w:rPr>
                <w:b/>
                <w:bCs/>
              </w:rPr>
              <w:t> </w:t>
            </w:r>
            <w:r w:rsidRPr="00365A5C">
              <w:rPr>
                <w:b/>
                <w:bCs/>
              </w:rPr>
              <w:t> </w:t>
            </w:r>
            <w:r w:rsidRPr="00365A5C">
              <w:rPr>
                <w:b/>
                <w:bCs/>
              </w:rPr>
              <w:t> </w:t>
            </w:r>
            <w:r w:rsidRPr="00365A5C">
              <w:rPr>
                <w:lang w:val="it-IT"/>
              </w:rPr>
              <w:fldChar w:fldCharType="end"/>
            </w:r>
            <w:r w:rsidRPr="00365A5C">
              <w:rPr>
                <w:b/>
                <w:bCs/>
                <w:lang w:val="it-IT"/>
              </w:rPr>
              <w:t xml:space="preserve">/00), </w:t>
            </w:r>
          </w:p>
          <w:p w14:paraId="2B1E46B8" w14:textId="4DF3B0BC" w:rsidR="00CC1467" w:rsidRPr="00CC1467" w:rsidRDefault="00365A5C" w:rsidP="004C6A12">
            <w:pPr>
              <w:pStyle w:val="Kommentartext"/>
              <w:jc w:val="both"/>
              <w:rPr>
                <w:i/>
                <w:lang w:val="it-IT"/>
              </w:rPr>
            </w:pPr>
            <w:r w:rsidRPr="00AB21A0">
              <w:rPr>
                <w:sz w:val="22"/>
                <w:szCs w:val="22"/>
                <w:lang w:val="it-IT"/>
              </w:rPr>
              <w:t>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w:t>
            </w:r>
            <w:r w:rsidRPr="00365A5C">
              <w:rPr>
                <w:lang w:val="it-IT"/>
              </w:rPr>
              <w:t xml:space="preserve"> </w:t>
            </w:r>
            <w:r w:rsidR="00CC1467" w:rsidRPr="00880B21">
              <w:rPr>
                <w:rStyle w:val="Hyperlink"/>
                <w:highlight w:val="yellow"/>
                <w:lang w:val="it-IT"/>
              </w:rPr>
              <w:t>http://www.anticorruzione.it/portal/public/classic/Servizi/ServiziOnline/Portaledeipagamenti</w:t>
            </w:r>
          </w:p>
          <w:p w14:paraId="1B65EB1B" w14:textId="791CF1ED" w:rsidR="00365A5C" w:rsidRPr="00365A5C" w:rsidRDefault="00365A5C" w:rsidP="004C6A12">
            <w:pPr>
              <w:jc w:val="both"/>
              <w:rPr>
                <w:lang w:val="it-IT"/>
              </w:rPr>
            </w:pPr>
            <w:r w:rsidRPr="00365A5C">
              <w:rPr>
                <w:lang w:val="it-IT"/>
              </w:rPr>
              <w:t xml:space="preserve">(si vedano, a tal fine, la deliberazione n.1174 </w:t>
            </w:r>
            <w:proofErr w:type="spellStart"/>
            <w:r w:rsidRPr="00365A5C">
              <w:rPr>
                <w:lang w:val="it-IT"/>
              </w:rPr>
              <w:t>dd</w:t>
            </w:r>
            <w:proofErr w:type="spellEnd"/>
            <w:r w:rsidRPr="00365A5C">
              <w:rPr>
                <w:lang w:val="it-IT"/>
              </w:rPr>
              <w:t>. 19.12.2018 e le relative istruzioni operative in vigore dal 1.1.2019).</w:t>
            </w:r>
            <w:bookmarkEnd w:id="2"/>
          </w:p>
        </w:tc>
      </w:tr>
      <w:tr w:rsidR="00365A5C" w:rsidRPr="0005194A" w14:paraId="1E71E5EC" w14:textId="77777777" w:rsidTr="006864C0">
        <w:tc>
          <w:tcPr>
            <w:tcW w:w="4537" w:type="dxa"/>
          </w:tcPr>
          <w:p w14:paraId="04EBB299" w14:textId="77777777" w:rsidR="00365A5C" w:rsidRPr="00365A5C" w:rsidRDefault="00365A5C" w:rsidP="00365A5C">
            <w:pPr>
              <w:rPr>
                <w:lang w:val="it-IT"/>
              </w:rPr>
            </w:pPr>
          </w:p>
        </w:tc>
        <w:tc>
          <w:tcPr>
            <w:tcW w:w="709" w:type="dxa"/>
          </w:tcPr>
          <w:p w14:paraId="612F4CEE" w14:textId="77777777" w:rsidR="00365A5C" w:rsidRPr="00365A5C" w:rsidRDefault="00365A5C" w:rsidP="00365A5C">
            <w:pPr>
              <w:rPr>
                <w:lang w:val="it-IT"/>
              </w:rPr>
            </w:pPr>
          </w:p>
        </w:tc>
        <w:tc>
          <w:tcPr>
            <w:tcW w:w="4110" w:type="dxa"/>
          </w:tcPr>
          <w:p w14:paraId="6EA72CE3" w14:textId="77777777" w:rsidR="00365A5C" w:rsidRPr="00365A5C" w:rsidRDefault="00365A5C" w:rsidP="00365A5C">
            <w:pPr>
              <w:rPr>
                <w:lang w:val="it-IT"/>
              </w:rPr>
            </w:pPr>
          </w:p>
        </w:tc>
      </w:tr>
      <w:tr w:rsidR="00365A5C" w:rsidRPr="0005194A" w14:paraId="14D7F10E" w14:textId="77777777" w:rsidTr="006864C0">
        <w:tc>
          <w:tcPr>
            <w:tcW w:w="4537" w:type="dxa"/>
          </w:tcPr>
          <w:p w14:paraId="2BA20FCB" w14:textId="77777777" w:rsidR="00365A5C" w:rsidRDefault="00365A5C" w:rsidP="00061B83">
            <w:pPr>
              <w:jc w:val="both"/>
              <w:rPr>
                <w:b/>
                <w:bCs/>
                <w:u w:val="single"/>
              </w:rPr>
            </w:pPr>
            <w:r w:rsidRPr="00365A5C">
              <w:rPr>
                <w:rFonts w:ascii="Arial" w:hAnsi="Arial" w:cs="Arial"/>
                <w:b/>
                <w:bCs/>
                <w:u w:val="single"/>
              </w:rPr>
              <w:t>►</w:t>
            </w:r>
            <w:r w:rsidRPr="00365A5C">
              <w:rPr>
                <w:b/>
                <w:bCs/>
                <w:u w:val="single"/>
              </w:rPr>
              <w:t>Die unterlassene Einzahlung zugunsten der ANAC innerhalb des Angebotsabgabetermins stellt einen nicht behebbaren Ausschlussgrund dar.</w:t>
            </w:r>
          </w:p>
          <w:p w14:paraId="128E401D" w14:textId="6BB562FC" w:rsidR="004C6A12" w:rsidRPr="004C6A12" w:rsidRDefault="004C6A12" w:rsidP="00546A79">
            <w:pPr>
              <w:jc w:val="both"/>
              <w:rPr>
                <w:bCs/>
              </w:rPr>
            </w:pPr>
            <w:r w:rsidRPr="00A365BF">
              <w:rPr>
                <w:bCs/>
                <w:highlight w:val="yellow"/>
              </w:rPr>
              <w:t xml:space="preserve">Im </w:t>
            </w:r>
            <w:r w:rsidR="002479DE" w:rsidRPr="00A365BF">
              <w:rPr>
                <w:bCs/>
                <w:highlight w:val="yellow"/>
              </w:rPr>
              <w:t>Fall,</w:t>
            </w:r>
            <w:r w:rsidRPr="00A365BF">
              <w:rPr>
                <w:bCs/>
                <w:highlight w:val="yellow"/>
              </w:rPr>
              <w:t xml:space="preserve"> </w:t>
            </w:r>
            <w:r w:rsidR="009966AD" w:rsidRPr="00A365BF">
              <w:rPr>
                <w:bCs/>
                <w:highlight w:val="yellow"/>
              </w:rPr>
              <w:t xml:space="preserve">dass </w:t>
            </w:r>
            <w:r w:rsidRPr="00A365BF">
              <w:rPr>
                <w:bCs/>
                <w:highlight w:val="yellow"/>
              </w:rPr>
              <w:t xml:space="preserve">die Bezahlung innerhalb der vorgesehenen Frist vorgenommen wurde, jedoch mit anderen Modalitäten als hier nachstehend angeführt, wird die </w:t>
            </w:r>
            <w:r w:rsidRPr="00A365BF">
              <w:rPr>
                <w:bCs/>
                <w:color w:val="FF0000"/>
                <w:highlight w:val="yellow"/>
              </w:rPr>
              <w:t xml:space="preserve">Agentur/auftraggebende Vergabestelle </w:t>
            </w:r>
            <w:r w:rsidR="004A0168" w:rsidRPr="00A365BF">
              <w:rPr>
                <w:bCs/>
                <w:highlight w:val="yellow"/>
              </w:rPr>
              <w:t xml:space="preserve">zwecks Zulassung des Teilnehmers die erneute Vornahme der Zahlung gemäß </w:t>
            </w:r>
            <w:r w:rsidR="00546A79" w:rsidRPr="00A365BF">
              <w:rPr>
                <w:bCs/>
                <w:highlight w:val="yellow"/>
              </w:rPr>
              <w:t xml:space="preserve">den </w:t>
            </w:r>
            <w:r w:rsidR="002479DE">
              <w:rPr>
                <w:bCs/>
                <w:highlight w:val="yellow"/>
              </w:rPr>
              <w:t>zulässigen</w:t>
            </w:r>
            <w:r w:rsidR="002479DE" w:rsidRPr="00A365BF">
              <w:rPr>
                <w:bCs/>
                <w:highlight w:val="yellow"/>
              </w:rPr>
              <w:t xml:space="preserve"> </w:t>
            </w:r>
            <w:r w:rsidR="00546A79" w:rsidRPr="00A365BF">
              <w:rPr>
                <w:bCs/>
                <w:highlight w:val="yellow"/>
              </w:rPr>
              <w:t xml:space="preserve">Modalitäten </w:t>
            </w:r>
            <w:r w:rsidR="004A0168" w:rsidRPr="00A365BF">
              <w:rPr>
                <w:bCs/>
                <w:highlight w:val="yellow"/>
              </w:rPr>
              <w:t>verlangen</w:t>
            </w:r>
            <w:r w:rsidR="00546A79" w:rsidRPr="00A365BF">
              <w:rPr>
                <w:bCs/>
                <w:highlight w:val="yellow"/>
              </w:rPr>
              <w:t>.</w:t>
            </w:r>
          </w:p>
        </w:tc>
        <w:tc>
          <w:tcPr>
            <w:tcW w:w="709" w:type="dxa"/>
          </w:tcPr>
          <w:p w14:paraId="763E66E8" w14:textId="77777777" w:rsidR="00365A5C" w:rsidRPr="00365A5C" w:rsidRDefault="00365A5C" w:rsidP="00365A5C">
            <w:pPr>
              <w:rPr>
                <w:b/>
                <w:u w:val="single"/>
              </w:rPr>
            </w:pPr>
          </w:p>
        </w:tc>
        <w:tc>
          <w:tcPr>
            <w:tcW w:w="4110" w:type="dxa"/>
          </w:tcPr>
          <w:p w14:paraId="51AEAD85" w14:textId="77777777" w:rsidR="00365A5C" w:rsidRDefault="00365A5C" w:rsidP="00061B83">
            <w:pPr>
              <w:jc w:val="both"/>
              <w:rPr>
                <w:b/>
                <w:u w:val="single"/>
                <w:lang w:val="it-IT"/>
              </w:rPr>
            </w:pPr>
            <w:r w:rsidRPr="00365A5C">
              <w:rPr>
                <w:rFonts w:ascii="Arial" w:hAnsi="Arial" w:cs="Arial"/>
                <w:b/>
                <w:u w:val="single"/>
                <w:lang w:val="it-IT"/>
              </w:rPr>
              <w:t>►</w:t>
            </w:r>
            <w:r w:rsidRPr="00365A5C">
              <w:rPr>
                <w:b/>
                <w:u w:val="single"/>
                <w:lang w:val="it-IT"/>
              </w:rPr>
              <w:t>È causa di esclusione non sanabile il mancato pagamento a favore dell’ANAC entro la data di presentazione dell’offerta.</w:t>
            </w:r>
          </w:p>
          <w:p w14:paraId="52FED255" w14:textId="5B1E293B" w:rsidR="008F2A29" w:rsidRPr="008F2A29" w:rsidRDefault="008F2A29" w:rsidP="008F2A29">
            <w:pPr>
              <w:pStyle w:val="StandardWeb"/>
              <w:jc w:val="both"/>
              <w:rPr>
                <w:lang w:val="it-IT"/>
              </w:rPr>
            </w:pPr>
            <w:r w:rsidRPr="00A365BF">
              <w:rPr>
                <w:highlight w:val="yellow"/>
                <w:lang w:val="it-IT"/>
              </w:rPr>
              <w:t>In caso di pagamento</w:t>
            </w:r>
            <w:r w:rsidR="00D96F71" w:rsidRPr="00A365BF">
              <w:rPr>
                <w:highlight w:val="yellow"/>
                <w:lang w:val="it-IT"/>
              </w:rPr>
              <w:t xml:space="preserve"> entro la data di presentazione dell’offerta</w:t>
            </w:r>
            <w:r w:rsidRPr="00A365BF">
              <w:rPr>
                <w:highlight w:val="yellow"/>
                <w:lang w:val="it-IT"/>
              </w:rPr>
              <w:t xml:space="preserve"> mediante una modalità diversa da quelle qui di seguito indicate, </w:t>
            </w:r>
            <w:r w:rsidRPr="00A365BF">
              <w:rPr>
                <w:color w:val="FF0000"/>
                <w:highlight w:val="yellow"/>
                <w:lang w:val="it-IT"/>
              </w:rPr>
              <w:t>l’Agenzia/la stazione appaltante</w:t>
            </w:r>
            <w:r w:rsidRPr="00A365BF">
              <w:rPr>
                <w:highlight w:val="yellow"/>
                <w:lang w:val="it-IT"/>
              </w:rPr>
              <w:t>, ai fini dell’ammissione del concorrente, richiederà che venga effettuato un nuovo versamento con una delle modalità ammesse</w:t>
            </w:r>
            <w:r w:rsidRPr="008F2A29">
              <w:rPr>
                <w:highlight w:val="cyan"/>
                <w:lang w:val="it-IT"/>
              </w:rPr>
              <w:t>.</w:t>
            </w:r>
          </w:p>
        </w:tc>
      </w:tr>
      <w:tr w:rsidR="00365A5C" w:rsidRPr="0005194A" w14:paraId="57F4335B" w14:textId="77777777" w:rsidTr="006864C0">
        <w:tc>
          <w:tcPr>
            <w:tcW w:w="4537" w:type="dxa"/>
          </w:tcPr>
          <w:p w14:paraId="3B476853" w14:textId="77777777" w:rsidR="00365A5C" w:rsidRPr="00365A5C" w:rsidRDefault="00365A5C" w:rsidP="00365A5C">
            <w:pPr>
              <w:rPr>
                <w:b/>
                <w:bCs/>
                <w:u w:val="single"/>
                <w:lang w:val="it-IT"/>
              </w:rPr>
            </w:pPr>
          </w:p>
        </w:tc>
        <w:tc>
          <w:tcPr>
            <w:tcW w:w="709" w:type="dxa"/>
          </w:tcPr>
          <w:p w14:paraId="3D7A0182" w14:textId="77777777" w:rsidR="00365A5C" w:rsidRPr="00365A5C" w:rsidRDefault="00365A5C" w:rsidP="00365A5C">
            <w:pPr>
              <w:rPr>
                <w:b/>
                <w:u w:val="single"/>
                <w:lang w:val="it-IT"/>
              </w:rPr>
            </w:pPr>
          </w:p>
        </w:tc>
        <w:tc>
          <w:tcPr>
            <w:tcW w:w="4110" w:type="dxa"/>
          </w:tcPr>
          <w:p w14:paraId="0C98AB67" w14:textId="77777777" w:rsidR="00365A5C" w:rsidRPr="00365A5C" w:rsidRDefault="00365A5C" w:rsidP="00365A5C">
            <w:pPr>
              <w:rPr>
                <w:b/>
                <w:u w:val="single"/>
                <w:lang w:val="it-IT"/>
              </w:rPr>
            </w:pPr>
          </w:p>
        </w:tc>
      </w:tr>
      <w:tr w:rsidR="00365A5C" w:rsidRPr="0005194A" w14:paraId="567E0812" w14:textId="77777777" w:rsidTr="006864C0">
        <w:trPr>
          <w:trHeight w:val="1196"/>
        </w:trPr>
        <w:tc>
          <w:tcPr>
            <w:tcW w:w="4537" w:type="dxa"/>
          </w:tcPr>
          <w:p w14:paraId="4E6318F4" w14:textId="77777777" w:rsidR="00365A5C" w:rsidRPr="00365A5C" w:rsidRDefault="00365A5C" w:rsidP="00061B83">
            <w:pPr>
              <w:jc w:val="both"/>
            </w:pPr>
            <w:r w:rsidRPr="00365A5C">
              <w:t>Wurde die Zahlung fristgerecht vorgenommen, je</w:t>
            </w:r>
            <w:r w:rsidRPr="00365A5C">
              <w:softHyphen/>
              <w:t xml:space="preserve">doch der entsprechende Zahlungsnachweis nicht im Portal hochgeladen, wird der Teilnehmer aufgefordert, den entsprechenden Zahlungsnachweis nachzureichen. </w:t>
            </w:r>
          </w:p>
        </w:tc>
        <w:tc>
          <w:tcPr>
            <w:tcW w:w="709" w:type="dxa"/>
          </w:tcPr>
          <w:p w14:paraId="4AC11BE3" w14:textId="77777777" w:rsidR="00365A5C" w:rsidRPr="00365A5C" w:rsidRDefault="00365A5C" w:rsidP="00061B83">
            <w:pPr>
              <w:jc w:val="both"/>
              <w:rPr>
                <w:strike/>
              </w:rPr>
            </w:pPr>
          </w:p>
        </w:tc>
        <w:tc>
          <w:tcPr>
            <w:tcW w:w="4110" w:type="dxa"/>
          </w:tcPr>
          <w:p w14:paraId="6D57A5BC" w14:textId="77777777" w:rsidR="00365A5C" w:rsidRPr="00365A5C" w:rsidRDefault="00365A5C" w:rsidP="00061B83">
            <w:pPr>
              <w:jc w:val="both"/>
              <w:rPr>
                <w:lang w:val="it-IT"/>
              </w:rPr>
            </w:pPr>
            <w:r w:rsidRPr="00365A5C">
              <w:rPr>
                <w:lang w:val="it-IT"/>
              </w:rPr>
              <w:t>Qualora il pagamento sia stato effettuato entro il termine predetto, ma sia stato omesso l’inserimento della ricevuta del versamento nel portale, l’offerente sarà invitato a fornire la rispettiva ricevuta del versamento.</w:t>
            </w:r>
          </w:p>
        </w:tc>
      </w:tr>
      <w:tr w:rsidR="00365A5C" w:rsidRPr="0005194A" w14:paraId="06C498DF" w14:textId="77777777" w:rsidTr="006864C0">
        <w:tc>
          <w:tcPr>
            <w:tcW w:w="4537" w:type="dxa"/>
          </w:tcPr>
          <w:p w14:paraId="3C086E3C" w14:textId="77777777" w:rsidR="00365A5C" w:rsidRPr="00365A5C" w:rsidRDefault="00365A5C" w:rsidP="00365A5C">
            <w:pPr>
              <w:rPr>
                <w:lang w:val="it-IT"/>
              </w:rPr>
            </w:pPr>
          </w:p>
        </w:tc>
        <w:tc>
          <w:tcPr>
            <w:tcW w:w="709" w:type="dxa"/>
          </w:tcPr>
          <w:p w14:paraId="2A79C984" w14:textId="77777777" w:rsidR="00365A5C" w:rsidRPr="00365A5C" w:rsidRDefault="00365A5C" w:rsidP="00365A5C">
            <w:pPr>
              <w:rPr>
                <w:lang w:val="it-IT"/>
              </w:rPr>
            </w:pPr>
          </w:p>
        </w:tc>
        <w:tc>
          <w:tcPr>
            <w:tcW w:w="4110" w:type="dxa"/>
          </w:tcPr>
          <w:p w14:paraId="1D349F01" w14:textId="77777777" w:rsidR="00365A5C" w:rsidRPr="00365A5C" w:rsidRDefault="00365A5C" w:rsidP="00365A5C">
            <w:pPr>
              <w:rPr>
                <w:lang w:val="it-IT"/>
              </w:rPr>
            </w:pPr>
          </w:p>
        </w:tc>
      </w:tr>
      <w:tr w:rsidR="00365A5C" w:rsidRPr="0005194A" w14:paraId="110644AC" w14:textId="77777777" w:rsidTr="006864C0">
        <w:tc>
          <w:tcPr>
            <w:tcW w:w="4537" w:type="dxa"/>
          </w:tcPr>
          <w:p w14:paraId="3F295CA2" w14:textId="77777777" w:rsidR="00365A5C" w:rsidRPr="00365A5C" w:rsidRDefault="00365A5C" w:rsidP="00DB30F8">
            <w:pPr>
              <w:jc w:val="both"/>
            </w:pPr>
            <w:r w:rsidRPr="00365A5C">
              <w:t xml:space="preserve">Je nach gewählten Zahlungsmodalitäten für die obige Überweisung müssen die Teilnehmer folgende Unterlagen beilegen: </w:t>
            </w:r>
          </w:p>
        </w:tc>
        <w:tc>
          <w:tcPr>
            <w:tcW w:w="709" w:type="dxa"/>
          </w:tcPr>
          <w:p w14:paraId="30D3807B" w14:textId="77777777" w:rsidR="00365A5C" w:rsidRPr="00365A5C" w:rsidRDefault="00365A5C" w:rsidP="00DB30F8">
            <w:pPr>
              <w:jc w:val="both"/>
            </w:pPr>
          </w:p>
        </w:tc>
        <w:tc>
          <w:tcPr>
            <w:tcW w:w="4110" w:type="dxa"/>
          </w:tcPr>
          <w:p w14:paraId="3CF4A90E" w14:textId="77777777" w:rsidR="00365A5C" w:rsidRPr="00365A5C" w:rsidRDefault="00365A5C" w:rsidP="00DB30F8">
            <w:pPr>
              <w:jc w:val="both"/>
              <w:rPr>
                <w:lang w:val="it-IT"/>
              </w:rPr>
            </w:pPr>
            <w:r w:rsidRPr="00365A5C">
              <w:rPr>
                <w:lang w:val="it-IT"/>
              </w:rPr>
              <w:t>Pertanto, a seconda delle modalità prescelte dal concorrente per l’effettuazione del suddetto versamento, i concorrenti devono allegare la seguente documentazione:</w:t>
            </w:r>
          </w:p>
        </w:tc>
      </w:tr>
      <w:tr w:rsidR="00365A5C" w:rsidRPr="0005194A" w14:paraId="188A3C5B" w14:textId="77777777" w:rsidTr="006864C0">
        <w:tc>
          <w:tcPr>
            <w:tcW w:w="4537" w:type="dxa"/>
          </w:tcPr>
          <w:p w14:paraId="38853202" w14:textId="77777777" w:rsidR="00365A5C" w:rsidRPr="00365A5C" w:rsidRDefault="00365A5C" w:rsidP="00365A5C">
            <w:pPr>
              <w:rPr>
                <w:lang w:val="it-IT"/>
              </w:rPr>
            </w:pPr>
          </w:p>
        </w:tc>
        <w:tc>
          <w:tcPr>
            <w:tcW w:w="709" w:type="dxa"/>
          </w:tcPr>
          <w:p w14:paraId="68DC410E" w14:textId="77777777" w:rsidR="00365A5C" w:rsidRPr="00365A5C" w:rsidRDefault="00365A5C" w:rsidP="00365A5C">
            <w:pPr>
              <w:rPr>
                <w:lang w:val="it-IT"/>
              </w:rPr>
            </w:pPr>
          </w:p>
        </w:tc>
        <w:tc>
          <w:tcPr>
            <w:tcW w:w="4110" w:type="dxa"/>
          </w:tcPr>
          <w:p w14:paraId="64B8971E" w14:textId="77777777" w:rsidR="00365A5C" w:rsidRPr="00365A5C" w:rsidRDefault="00365A5C" w:rsidP="00365A5C">
            <w:pPr>
              <w:rPr>
                <w:lang w:val="it-IT"/>
              </w:rPr>
            </w:pPr>
          </w:p>
        </w:tc>
      </w:tr>
      <w:tr w:rsidR="00365A5C" w:rsidRPr="0005194A" w14:paraId="40B59517" w14:textId="77777777" w:rsidTr="006864C0">
        <w:tc>
          <w:tcPr>
            <w:tcW w:w="4537" w:type="dxa"/>
          </w:tcPr>
          <w:p w14:paraId="56FA00A6" w14:textId="14275EC9" w:rsidR="00853FB3" w:rsidRPr="007C03C7" w:rsidRDefault="00853FB3" w:rsidP="00DB30F8">
            <w:pPr>
              <w:numPr>
                <w:ilvl w:val="0"/>
                <w:numId w:val="1"/>
              </w:numPr>
              <w:tabs>
                <w:tab w:val="num" w:pos="700"/>
              </w:tabs>
              <w:jc w:val="both"/>
              <w:rPr>
                <w:highlight w:val="yellow"/>
              </w:rPr>
            </w:pPr>
            <w:r w:rsidRPr="007C03C7">
              <w:rPr>
                <w:highlight w:val="yellow"/>
              </w:rPr>
              <w:t xml:space="preserve">Online Bezahlung über das </w:t>
            </w:r>
            <w:r w:rsidRPr="007C03C7">
              <w:rPr>
                <w:color w:val="0000FF"/>
                <w:highlight w:val="yellow"/>
                <w:u w:val="single"/>
              </w:rPr>
              <w:t xml:space="preserve">Portal der Zahlungen der ANAC (http://www.anticorruzione.it/portal/public/classic/Servizi/ServiziOnline/Portaledeipagamenti), </w:t>
            </w:r>
            <w:r w:rsidRPr="007C03C7">
              <w:rPr>
                <w:highlight w:val="yellow"/>
              </w:rPr>
              <w:t xml:space="preserve">wobei unter den </w:t>
            </w:r>
            <w:r w:rsidR="002479DE" w:rsidRPr="007C03C7">
              <w:rPr>
                <w:highlight w:val="yellow"/>
              </w:rPr>
              <w:t xml:space="preserve">Zahlungsarten, </w:t>
            </w:r>
            <w:r w:rsidRPr="007C03C7">
              <w:rPr>
                <w:highlight w:val="yellow"/>
              </w:rPr>
              <w:t xml:space="preserve">welche auf dem </w:t>
            </w:r>
            <w:proofErr w:type="spellStart"/>
            <w:r w:rsidRPr="007C03C7">
              <w:rPr>
                <w:highlight w:val="yellow"/>
              </w:rPr>
              <w:t>PagaPA</w:t>
            </w:r>
            <w:proofErr w:type="spellEnd"/>
            <w:r w:rsidRPr="007C03C7">
              <w:rPr>
                <w:highlight w:val="yellow"/>
              </w:rPr>
              <w:t xml:space="preserve"> System zur Verfügung stehen</w:t>
            </w:r>
            <w:r w:rsidR="00611BCB">
              <w:rPr>
                <w:highlight w:val="yellow"/>
              </w:rPr>
              <w:t>,</w:t>
            </w:r>
            <w:r w:rsidRPr="007C03C7">
              <w:rPr>
                <w:highlight w:val="yellow"/>
              </w:rPr>
              <w:t xml:space="preserve"> gewählt werden soll.</w:t>
            </w:r>
          </w:p>
          <w:p w14:paraId="1AC23BED" w14:textId="77777777" w:rsidR="00853FB3" w:rsidRPr="007C03C7" w:rsidRDefault="00853FB3" w:rsidP="00DB30F8">
            <w:pPr>
              <w:ind w:left="927"/>
              <w:jc w:val="both"/>
              <w:rPr>
                <w:strike/>
                <w:highlight w:val="yellow"/>
              </w:rPr>
            </w:pPr>
          </w:p>
          <w:p w14:paraId="0A3A3C77" w14:textId="7FFFFE0D" w:rsidR="00365A5C" w:rsidRPr="007C03C7" w:rsidRDefault="00365A5C" w:rsidP="00DB30F8">
            <w:pPr>
              <w:ind w:left="927"/>
              <w:jc w:val="both"/>
              <w:rPr>
                <w:strike/>
                <w:highlight w:val="yellow"/>
              </w:rPr>
            </w:pPr>
            <w:r w:rsidRPr="007C03C7">
              <w:rPr>
                <w:strike/>
                <w:highlight w:val="yellow"/>
              </w:rPr>
              <w:t xml:space="preserve">bei </w:t>
            </w:r>
            <w:r w:rsidRPr="007C03C7">
              <w:rPr>
                <w:b/>
                <w:bCs/>
                <w:i/>
                <w:iCs/>
                <w:strike/>
                <w:highlight w:val="yellow"/>
              </w:rPr>
              <w:t xml:space="preserve">Online-Überweisungen mittels Kreditkarte </w:t>
            </w:r>
            <w:r w:rsidRPr="007C03C7">
              <w:rPr>
                <w:bCs/>
                <w:i/>
                <w:iCs/>
                <w:strike/>
                <w:highlight w:val="yellow"/>
              </w:rPr>
              <w:t xml:space="preserve">wie Visa, MasterCard, Diners, American Express </w:t>
            </w:r>
            <w:r w:rsidRPr="007C03C7">
              <w:rPr>
                <w:bCs/>
                <w:iCs/>
                <w:strike/>
                <w:highlight w:val="yellow"/>
              </w:rPr>
              <w:t xml:space="preserve">(für die Durchführung der Zahlung ist es nötig, sich mit dem </w:t>
            </w:r>
            <w:r w:rsidRPr="007C03C7">
              <w:rPr>
                <w:strike/>
                <w:highlight w:val="yellow"/>
              </w:rPr>
              <w:t>Einzugsdienst</w:t>
            </w:r>
            <w:r w:rsidRPr="007C03C7">
              <w:rPr>
                <w:bCs/>
                <w:iCs/>
                <w:strike/>
                <w:highlight w:val="yellow"/>
              </w:rPr>
              <w:t xml:space="preserve"> </w:t>
            </w:r>
            <w:r w:rsidRPr="007C03C7">
              <w:rPr>
                <w:bCs/>
                <w:i/>
                <w:iCs/>
                <w:strike/>
                <w:highlight w:val="yellow"/>
              </w:rPr>
              <w:t>„</w:t>
            </w:r>
            <w:proofErr w:type="spellStart"/>
            <w:r w:rsidRPr="007C03C7">
              <w:rPr>
                <w:bCs/>
                <w:i/>
                <w:iCs/>
                <w:strike/>
                <w:highlight w:val="yellow"/>
              </w:rPr>
              <w:t>Servizio</w:t>
            </w:r>
            <w:proofErr w:type="spellEnd"/>
            <w:r w:rsidRPr="007C03C7">
              <w:rPr>
                <w:bCs/>
                <w:i/>
                <w:iCs/>
                <w:strike/>
                <w:highlight w:val="yellow"/>
              </w:rPr>
              <w:t xml:space="preserve"> </w:t>
            </w:r>
            <w:proofErr w:type="spellStart"/>
            <w:r w:rsidRPr="007C03C7">
              <w:rPr>
                <w:bCs/>
                <w:i/>
                <w:iCs/>
                <w:strike/>
                <w:highlight w:val="yellow"/>
              </w:rPr>
              <w:t>riscossioni</w:t>
            </w:r>
            <w:proofErr w:type="spellEnd"/>
            <w:r w:rsidRPr="007C03C7">
              <w:rPr>
                <w:bCs/>
                <w:i/>
                <w:iCs/>
                <w:strike/>
                <w:highlight w:val="yellow"/>
              </w:rPr>
              <w:t>“</w:t>
            </w:r>
            <w:r w:rsidRPr="007C03C7">
              <w:rPr>
                <w:bCs/>
                <w:iCs/>
                <w:strike/>
                <w:highlight w:val="yellow"/>
              </w:rPr>
              <w:t xml:space="preserve"> zu verbinden): die </w:t>
            </w:r>
            <w:r w:rsidRPr="007C03C7">
              <w:rPr>
                <w:b/>
                <w:bCs/>
                <w:strike/>
                <w:highlight w:val="yellow"/>
                <w:u w:val="single"/>
              </w:rPr>
              <w:t>Bestätigung der Zahlung</w:t>
            </w:r>
            <w:r w:rsidRPr="007C03C7">
              <w:rPr>
                <w:bCs/>
                <w:strike/>
                <w:highlight w:val="yellow"/>
              </w:rPr>
              <w:t xml:space="preserve">, die dem Teilnehmer an seine E-Mail-Adresse geschickt wird. Die Bestätigung kann </w:t>
            </w:r>
            <w:r w:rsidRPr="007C03C7">
              <w:rPr>
                <w:strike/>
                <w:highlight w:val="yellow"/>
              </w:rPr>
              <w:t>jederzeit über die Funktion „durchgeführte Zahlungen“ („</w:t>
            </w:r>
            <w:proofErr w:type="spellStart"/>
            <w:r w:rsidRPr="007C03C7">
              <w:rPr>
                <w:strike/>
                <w:highlight w:val="yellow"/>
              </w:rPr>
              <w:t>pagamenti</w:t>
            </w:r>
            <w:proofErr w:type="spellEnd"/>
            <w:r w:rsidRPr="007C03C7">
              <w:rPr>
                <w:strike/>
                <w:highlight w:val="yellow"/>
              </w:rPr>
              <w:t xml:space="preserve"> </w:t>
            </w:r>
            <w:proofErr w:type="spellStart"/>
            <w:r w:rsidRPr="007C03C7">
              <w:rPr>
                <w:strike/>
                <w:highlight w:val="yellow"/>
              </w:rPr>
              <w:t>effettuati</w:t>
            </w:r>
            <w:proofErr w:type="spellEnd"/>
            <w:r w:rsidRPr="007C03C7">
              <w:rPr>
                <w:strike/>
                <w:highlight w:val="yellow"/>
              </w:rPr>
              <w:t>”) heruntergeladen werden und ist im PDF-Format im Portal hochzuladen;</w:t>
            </w:r>
          </w:p>
        </w:tc>
        <w:tc>
          <w:tcPr>
            <w:tcW w:w="709" w:type="dxa"/>
          </w:tcPr>
          <w:p w14:paraId="772E46B1" w14:textId="77777777" w:rsidR="00365A5C" w:rsidRPr="007C03C7" w:rsidRDefault="00365A5C" w:rsidP="00DB30F8">
            <w:pPr>
              <w:jc w:val="both"/>
              <w:rPr>
                <w:highlight w:val="yellow"/>
              </w:rPr>
            </w:pPr>
          </w:p>
        </w:tc>
        <w:tc>
          <w:tcPr>
            <w:tcW w:w="4110" w:type="dxa"/>
          </w:tcPr>
          <w:p w14:paraId="6A9E10D0" w14:textId="61CF3253" w:rsidR="00365A5C" w:rsidRPr="007C03C7" w:rsidRDefault="00365A5C" w:rsidP="00DB30F8">
            <w:pPr>
              <w:pStyle w:val="Listenabsatz"/>
              <w:numPr>
                <w:ilvl w:val="0"/>
                <w:numId w:val="6"/>
              </w:numPr>
              <w:jc w:val="both"/>
              <w:rPr>
                <w:highlight w:val="yellow"/>
                <w:lang w:val="it-IT"/>
              </w:rPr>
            </w:pPr>
            <w:r w:rsidRPr="007C03C7">
              <w:rPr>
                <w:b/>
                <w:bCs/>
                <w:highlight w:val="yellow"/>
                <w:lang w:val="it-IT"/>
              </w:rPr>
              <w:t xml:space="preserve">"Pagamento on line" </w:t>
            </w:r>
            <w:r w:rsidRPr="007C03C7">
              <w:rPr>
                <w:highlight w:val="yellow"/>
                <w:lang w:val="it-IT"/>
              </w:rPr>
              <w:t xml:space="preserve">mediante il nuovo </w:t>
            </w:r>
            <w:hyperlink r:id="rId6" w:history="1">
              <w:r w:rsidRPr="007C03C7">
                <w:rPr>
                  <w:color w:val="0000FF"/>
                  <w:highlight w:val="yellow"/>
                  <w:u w:val="single"/>
                  <w:lang w:val="it-IT"/>
                </w:rPr>
                <w:t>Portale dei pagamenti dell’A.N.AC</w:t>
              </w:r>
            </w:hyperlink>
            <w:r w:rsidR="00853FB3" w:rsidRPr="007C03C7">
              <w:rPr>
                <w:highlight w:val="yellow"/>
                <w:lang w:val="it-IT"/>
              </w:rPr>
              <w:t xml:space="preserve"> (</w:t>
            </w:r>
            <w:r w:rsidR="00853FB3" w:rsidRPr="007C03C7">
              <w:rPr>
                <w:color w:val="0000FF"/>
                <w:highlight w:val="yellow"/>
                <w:u w:val="single"/>
                <w:lang w:val="it-IT"/>
              </w:rPr>
              <w:t>http://www.anticorruzione.it/portal/public/classic/Servizi/ServiziOnline/Portaledeipagamenti</w:t>
            </w:r>
            <w:r w:rsidR="00853FB3" w:rsidRPr="007C03C7">
              <w:rPr>
                <w:highlight w:val="yellow"/>
                <w:lang w:val="it-IT"/>
              </w:rPr>
              <w:t>)</w:t>
            </w:r>
            <w:r w:rsidRPr="007C03C7">
              <w:rPr>
                <w:highlight w:val="yellow"/>
                <w:lang w:val="it-IT"/>
              </w:rPr>
              <w:t xml:space="preserve">, scegliendo tra i canali di pagamento disponibili sul sistema </w:t>
            </w:r>
            <w:proofErr w:type="spellStart"/>
            <w:r w:rsidRPr="007C03C7">
              <w:rPr>
                <w:highlight w:val="yellow"/>
                <w:lang w:val="it-IT"/>
              </w:rPr>
              <w:t>pagoPA</w:t>
            </w:r>
            <w:proofErr w:type="spellEnd"/>
            <w:r w:rsidRPr="007C03C7">
              <w:rPr>
                <w:highlight w:val="yellow"/>
                <w:lang w:val="it-IT"/>
              </w:rPr>
              <w:t>.</w:t>
            </w:r>
          </w:p>
          <w:p w14:paraId="455AED9C" w14:textId="7D316289" w:rsidR="00365A5C" w:rsidRPr="007C03C7" w:rsidRDefault="00365A5C" w:rsidP="00DB30F8">
            <w:pPr>
              <w:ind w:left="927"/>
              <w:jc w:val="both"/>
              <w:rPr>
                <w:strike/>
                <w:highlight w:val="yellow"/>
                <w:lang w:val="it-IT"/>
              </w:rPr>
            </w:pPr>
            <w:r w:rsidRPr="007C03C7">
              <w:rPr>
                <w:strike/>
                <w:highlight w:val="yellow"/>
                <w:lang w:val="it-IT"/>
              </w:rPr>
              <w:t xml:space="preserve">in caso di versamento </w:t>
            </w:r>
            <w:r w:rsidRPr="007C03C7">
              <w:rPr>
                <w:b/>
                <w:bCs/>
                <w:i/>
                <w:iCs/>
                <w:strike/>
                <w:highlight w:val="yellow"/>
                <w:lang w:val="it-IT"/>
              </w:rPr>
              <w:t xml:space="preserve">online mediante carta di credito </w:t>
            </w:r>
            <w:r w:rsidRPr="007C03C7">
              <w:rPr>
                <w:bCs/>
                <w:i/>
                <w:iCs/>
                <w:strike/>
                <w:highlight w:val="yellow"/>
                <w:lang w:val="it-IT"/>
              </w:rPr>
              <w:t xml:space="preserve">dei circuiti Visa, MasterCard, Diners, American Express </w:t>
            </w:r>
            <w:r w:rsidRPr="007C03C7">
              <w:rPr>
                <w:strike/>
                <w:highlight w:val="yellow"/>
                <w:lang w:val="it-IT"/>
              </w:rPr>
              <w:t xml:space="preserve">(per eseguire il pagamento sarà necessario collegarsi al “Servizio riscossione”): </w:t>
            </w:r>
            <w:r w:rsidRPr="007C03C7">
              <w:rPr>
                <w:b/>
                <w:bCs/>
                <w:strike/>
                <w:highlight w:val="yellow"/>
                <w:u w:val="single"/>
                <w:lang w:val="it-IT"/>
              </w:rPr>
              <w:t>la ricevuta di pagamento,</w:t>
            </w:r>
            <w:r w:rsidRPr="007C03C7">
              <w:rPr>
                <w:strike/>
                <w:highlight w:val="yellow"/>
                <w:lang w:val="it-IT"/>
              </w:rPr>
              <w:t xml:space="preserve"> che il concorrente riceverà all’indirizzo di posta elettronica. La ricevuta </w:t>
            </w:r>
            <w:proofErr w:type="spellStart"/>
            <w:r w:rsidRPr="007C03C7">
              <w:rPr>
                <w:strike/>
                <w:highlight w:val="yellow"/>
                <w:lang w:val="it-IT"/>
              </w:rPr>
              <w:t>é</w:t>
            </w:r>
            <w:proofErr w:type="spellEnd"/>
            <w:r w:rsidRPr="007C03C7">
              <w:rPr>
                <w:strike/>
                <w:highlight w:val="yellow"/>
                <w:lang w:val="it-IT"/>
              </w:rPr>
              <w:t xml:space="preserve"> reperibile in qualunque momento mediante la funzionalità “pagamenti effettuati”, </w:t>
            </w:r>
            <w:r w:rsidRPr="007C03C7">
              <w:rPr>
                <w:bCs/>
                <w:iCs/>
                <w:strike/>
                <w:highlight w:val="yellow"/>
                <w:lang w:val="it-IT"/>
              </w:rPr>
              <w:t>da inserire nel portale in formato PDF</w:t>
            </w:r>
            <w:r w:rsidRPr="007C03C7">
              <w:rPr>
                <w:strike/>
                <w:highlight w:val="yellow"/>
                <w:lang w:val="it-IT"/>
              </w:rPr>
              <w:t>;</w:t>
            </w:r>
          </w:p>
          <w:p w14:paraId="4C5A5682" w14:textId="77777777" w:rsidR="00365A5C" w:rsidRPr="007C03C7" w:rsidRDefault="00365A5C" w:rsidP="00DB30F8">
            <w:pPr>
              <w:jc w:val="both"/>
              <w:rPr>
                <w:highlight w:val="yellow"/>
                <w:lang w:val="it-IT"/>
              </w:rPr>
            </w:pPr>
          </w:p>
        </w:tc>
      </w:tr>
      <w:tr w:rsidR="00365A5C" w:rsidRPr="0005194A" w14:paraId="3853ED8A" w14:textId="77777777" w:rsidTr="006864C0">
        <w:tc>
          <w:tcPr>
            <w:tcW w:w="4537" w:type="dxa"/>
          </w:tcPr>
          <w:p w14:paraId="1125615C" w14:textId="77777777" w:rsidR="00365A5C" w:rsidRPr="00365A5C" w:rsidRDefault="00365A5C" w:rsidP="00365A5C">
            <w:pPr>
              <w:rPr>
                <w:lang w:val="it-IT"/>
              </w:rPr>
            </w:pPr>
          </w:p>
        </w:tc>
        <w:tc>
          <w:tcPr>
            <w:tcW w:w="709" w:type="dxa"/>
          </w:tcPr>
          <w:p w14:paraId="6214BD45" w14:textId="77777777" w:rsidR="00365A5C" w:rsidRPr="00365A5C" w:rsidRDefault="00365A5C" w:rsidP="00365A5C">
            <w:pPr>
              <w:rPr>
                <w:lang w:val="it-IT"/>
              </w:rPr>
            </w:pPr>
          </w:p>
        </w:tc>
        <w:tc>
          <w:tcPr>
            <w:tcW w:w="4110" w:type="dxa"/>
          </w:tcPr>
          <w:p w14:paraId="50ADD868" w14:textId="77777777" w:rsidR="00365A5C" w:rsidRPr="00365A5C" w:rsidRDefault="00365A5C" w:rsidP="00365A5C">
            <w:pPr>
              <w:rPr>
                <w:lang w:val="it-IT"/>
              </w:rPr>
            </w:pPr>
          </w:p>
        </w:tc>
      </w:tr>
      <w:tr w:rsidR="00365A5C" w:rsidRPr="0005194A" w14:paraId="1607D6BC" w14:textId="77777777" w:rsidTr="006864C0">
        <w:tc>
          <w:tcPr>
            <w:tcW w:w="4537" w:type="dxa"/>
          </w:tcPr>
          <w:p w14:paraId="42CD6B4D" w14:textId="04C3CE41" w:rsidR="006651B0" w:rsidRPr="007C03C7" w:rsidRDefault="00DA50ED" w:rsidP="00DB30F8">
            <w:pPr>
              <w:numPr>
                <w:ilvl w:val="0"/>
                <w:numId w:val="1"/>
              </w:numPr>
              <w:tabs>
                <w:tab w:val="num" w:pos="700"/>
              </w:tabs>
              <w:jc w:val="both"/>
              <w:rPr>
                <w:rStyle w:val="Fett"/>
                <w:b w:val="0"/>
                <w:highlight w:val="yellow"/>
              </w:rPr>
            </w:pPr>
            <w:r w:rsidRPr="007C03C7">
              <w:rPr>
                <w:rStyle w:val="Fett"/>
                <w:highlight w:val="yellow"/>
              </w:rPr>
              <w:t>„</w:t>
            </w:r>
            <w:r w:rsidR="00AF48CB" w:rsidRPr="007C03C7">
              <w:rPr>
                <w:rStyle w:val="Fett"/>
                <w:highlight w:val="yellow"/>
              </w:rPr>
              <w:t xml:space="preserve">Zahlung mittels </w:t>
            </w:r>
            <w:r w:rsidR="002479DE" w:rsidRPr="007C03C7">
              <w:rPr>
                <w:rStyle w:val="Fett"/>
                <w:highlight w:val="yellow"/>
              </w:rPr>
              <w:t>Zahlungsavis</w:t>
            </w:r>
            <w:r w:rsidRPr="007C03C7">
              <w:rPr>
                <w:rStyle w:val="Fett"/>
                <w:highlight w:val="yellow"/>
              </w:rPr>
              <w:t xml:space="preserve">“ </w:t>
            </w:r>
            <w:r w:rsidRPr="007C03C7">
              <w:rPr>
                <w:rStyle w:val="Fett"/>
                <w:b w:val="0"/>
                <w:highlight w:val="yellow"/>
              </w:rPr>
              <w:t xml:space="preserve">wobei die von einem </w:t>
            </w:r>
            <w:r w:rsidR="00482855" w:rsidRPr="007C03C7">
              <w:rPr>
                <w:rStyle w:val="Fett"/>
                <w:b w:val="0"/>
                <w:highlight w:val="yellow"/>
              </w:rPr>
              <w:t>zu</w:t>
            </w:r>
            <w:r w:rsidRPr="007C03C7">
              <w:rPr>
                <w:rStyle w:val="Fett"/>
                <w:b w:val="0"/>
                <w:highlight w:val="yellow"/>
              </w:rPr>
              <w:t xml:space="preserve"> </w:t>
            </w:r>
            <w:proofErr w:type="spellStart"/>
            <w:r w:rsidRPr="007C03C7">
              <w:rPr>
                <w:rStyle w:val="Fett"/>
                <w:b w:val="0"/>
                <w:highlight w:val="yellow"/>
              </w:rPr>
              <w:t>PagoPA</w:t>
            </w:r>
            <w:proofErr w:type="spellEnd"/>
            <w:r w:rsidRPr="007C03C7">
              <w:rPr>
                <w:rStyle w:val="Fett"/>
                <w:b w:val="0"/>
                <w:highlight w:val="yellow"/>
              </w:rPr>
              <w:t xml:space="preserve"> ermächtigten PSP (Anbieter der Zahlungsleistung) zur Verfügung gestellten Kanäle in Anspruch genommen werden sollen</w:t>
            </w:r>
            <w:r w:rsidR="00482855" w:rsidRPr="007C03C7">
              <w:rPr>
                <w:rStyle w:val="Fett"/>
                <w:b w:val="0"/>
                <w:highlight w:val="yellow"/>
              </w:rPr>
              <w:t xml:space="preserve"> (ATM Schalter</w:t>
            </w:r>
            <w:r w:rsidR="00B06E47" w:rsidRPr="007C03C7">
              <w:rPr>
                <w:rStyle w:val="Fett"/>
                <w:b w:val="0"/>
                <w:highlight w:val="yellow"/>
              </w:rPr>
              <w:t>,</w:t>
            </w:r>
            <w:r w:rsidR="00482855" w:rsidRPr="007C03C7">
              <w:rPr>
                <w:rStyle w:val="Fett"/>
                <w:b w:val="0"/>
                <w:highlight w:val="yellow"/>
              </w:rPr>
              <w:t xml:space="preserve"> Homebanking, CBILL Dienst und </w:t>
            </w:r>
            <w:proofErr w:type="spellStart"/>
            <w:r w:rsidR="00482855" w:rsidRPr="007C03C7">
              <w:rPr>
                <w:rStyle w:val="Fett"/>
                <w:b w:val="0"/>
                <w:highlight w:val="yellow"/>
              </w:rPr>
              <w:t>mobile</w:t>
            </w:r>
            <w:proofErr w:type="spellEnd"/>
            <w:r w:rsidR="00482855" w:rsidRPr="007C03C7">
              <w:rPr>
                <w:rStyle w:val="Fett"/>
                <w:b w:val="0"/>
                <w:highlight w:val="yellow"/>
              </w:rPr>
              <w:t xml:space="preserve"> </w:t>
            </w:r>
            <w:proofErr w:type="spellStart"/>
            <w:r w:rsidR="00482855" w:rsidRPr="007C03C7">
              <w:rPr>
                <w:rStyle w:val="Fett"/>
                <w:b w:val="0"/>
                <w:highlight w:val="yellow"/>
              </w:rPr>
              <w:t>payment</w:t>
            </w:r>
            <w:proofErr w:type="spellEnd"/>
            <w:r w:rsidR="00482855" w:rsidRPr="007C03C7">
              <w:rPr>
                <w:rStyle w:val="Fett"/>
                <w:b w:val="0"/>
                <w:highlight w:val="yellow"/>
              </w:rPr>
              <w:t xml:space="preserve">, Tabaktrafiken, SISAL und </w:t>
            </w:r>
            <w:proofErr w:type="spellStart"/>
            <w:r w:rsidR="00482855" w:rsidRPr="007C03C7">
              <w:rPr>
                <w:rStyle w:val="Fett"/>
                <w:b w:val="0"/>
                <w:highlight w:val="yellow"/>
              </w:rPr>
              <w:t>Lottomatik</w:t>
            </w:r>
            <w:proofErr w:type="spellEnd"/>
            <w:r w:rsidR="00482855" w:rsidRPr="007C03C7">
              <w:rPr>
                <w:rStyle w:val="Fett"/>
                <w:b w:val="0"/>
                <w:highlight w:val="yellow"/>
              </w:rPr>
              <w:t xml:space="preserve">, </w:t>
            </w:r>
            <w:r w:rsidR="00B06E47" w:rsidRPr="007C03C7">
              <w:rPr>
                <w:rStyle w:val="Fett"/>
                <w:b w:val="0"/>
                <w:highlight w:val="yellow"/>
              </w:rPr>
              <w:t>von einem organisierten Großhändler</w:t>
            </w:r>
            <w:r w:rsidR="00482855" w:rsidRPr="007C03C7">
              <w:rPr>
                <w:rStyle w:val="Fett"/>
                <w:b w:val="0"/>
                <w:highlight w:val="yellow"/>
              </w:rPr>
              <w:t xml:space="preserve"> zur Verfügung gestellte Kassen usw.) </w:t>
            </w:r>
          </w:p>
          <w:p w14:paraId="5B6243B6" w14:textId="77777777" w:rsidR="00611BCB" w:rsidRDefault="00611BCB" w:rsidP="00DB30F8">
            <w:pPr>
              <w:ind w:left="567"/>
              <w:jc w:val="both"/>
              <w:rPr>
                <w:rStyle w:val="Fett"/>
                <w:highlight w:val="yellow"/>
              </w:rPr>
            </w:pPr>
          </w:p>
          <w:p w14:paraId="2FA3235C" w14:textId="456C00AA" w:rsidR="00482855" w:rsidRPr="007C03C7" w:rsidRDefault="00482855" w:rsidP="00DB30F8">
            <w:pPr>
              <w:ind w:left="567"/>
              <w:jc w:val="both"/>
              <w:rPr>
                <w:rStyle w:val="Fett"/>
                <w:highlight w:val="yellow"/>
              </w:rPr>
            </w:pPr>
            <w:r w:rsidRPr="007C03C7">
              <w:rPr>
                <w:rStyle w:val="Fett"/>
                <w:highlight w:val="yellow"/>
              </w:rPr>
              <w:t xml:space="preserve">Im Rahmen des erneuerten Dienstes ist es nicht möglich, die Zahlung bei einem PSP ohne </w:t>
            </w:r>
            <w:r w:rsidR="00B06E47" w:rsidRPr="007C03C7">
              <w:rPr>
                <w:rStyle w:val="Fett"/>
                <w:highlight w:val="yellow"/>
              </w:rPr>
              <w:t>Zahlungsavis</w:t>
            </w:r>
            <w:r w:rsidRPr="007C03C7">
              <w:rPr>
                <w:rStyle w:val="Fett"/>
                <w:highlight w:val="yellow"/>
              </w:rPr>
              <w:t xml:space="preserve">, bzw. nur mit dem CIG </w:t>
            </w:r>
            <w:r w:rsidRPr="007C03C7">
              <w:rPr>
                <w:rStyle w:val="Fett"/>
                <w:highlight w:val="yellow"/>
              </w:rPr>
              <w:lastRenderedPageBreak/>
              <w:t>und Steuernummer des Wirtschaftsteilnehmers durchzuführen.</w:t>
            </w:r>
          </w:p>
          <w:p w14:paraId="00F91AB2" w14:textId="667450A7" w:rsidR="00482855" w:rsidRDefault="00482855" w:rsidP="00DB30F8">
            <w:pPr>
              <w:ind w:left="567"/>
              <w:jc w:val="both"/>
              <w:rPr>
                <w:rStyle w:val="Fett"/>
                <w:highlight w:val="yellow"/>
              </w:rPr>
            </w:pPr>
            <w:r w:rsidRPr="007C03C7">
              <w:rPr>
                <w:rStyle w:val="Fett"/>
                <w:highlight w:val="yellow"/>
              </w:rPr>
              <w:t xml:space="preserve">Die Liste der aktiven PSP und für den Erhalt von Zahlungen über </w:t>
            </w:r>
            <w:proofErr w:type="spellStart"/>
            <w:r w:rsidRPr="007C03C7">
              <w:rPr>
                <w:rStyle w:val="Fett"/>
                <w:highlight w:val="yellow"/>
              </w:rPr>
              <w:t>PagoPA</w:t>
            </w:r>
            <w:proofErr w:type="spellEnd"/>
            <w:r w:rsidRPr="007C03C7">
              <w:rPr>
                <w:rStyle w:val="Fett"/>
                <w:highlight w:val="yellow"/>
              </w:rPr>
              <w:t xml:space="preserve"> </w:t>
            </w:r>
            <w:r w:rsidR="00B06E47" w:rsidRPr="007C03C7">
              <w:rPr>
                <w:rStyle w:val="Fett"/>
                <w:highlight w:val="yellow"/>
              </w:rPr>
              <w:t xml:space="preserve">zugelassenen </w:t>
            </w:r>
            <w:r w:rsidRPr="007C03C7">
              <w:rPr>
                <w:rStyle w:val="Fett"/>
                <w:highlight w:val="yellow"/>
              </w:rPr>
              <w:t xml:space="preserve">Kanäle sind unter der Adresse </w:t>
            </w:r>
            <w:hyperlink r:id="rId7" w:history="1">
              <w:r w:rsidRPr="007C03C7">
                <w:rPr>
                  <w:color w:val="0000FF"/>
                  <w:highlight w:val="yellow"/>
                  <w:u w:val="single"/>
                </w:rPr>
                <w:t>www.pagopa.gov.it</w:t>
              </w:r>
            </w:hyperlink>
            <w:r w:rsidRPr="007C03C7">
              <w:rPr>
                <w:color w:val="0000FF"/>
                <w:highlight w:val="yellow"/>
                <w:u w:val="single"/>
              </w:rPr>
              <w:t xml:space="preserve"> </w:t>
            </w:r>
            <w:r w:rsidRPr="007C03C7">
              <w:rPr>
                <w:rStyle w:val="Fett"/>
                <w:highlight w:val="yellow"/>
              </w:rPr>
              <w:t>abrufbar.</w:t>
            </w:r>
          </w:p>
          <w:p w14:paraId="72934F38" w14:textId="77777777" w:rsidR="00DB30F8" w:rsidRPr="007C03C7" w:rsidRDefault="00DB30F8" w:rsidP="00DB30F8">
            <w:pPr>
              <w:ind w:left="567"/>
              <w:jc w:val="both"/>
              <w:rPr>
                <w:rStyle w:val="Fett"/>
                <w:highlight w:val="yellow"/>
              </w:rPr>
            </w:pPr>
          </w:p>
          <w:p w14:paraId="06CCA638" w14:textId="6F81DAAE" w:rsidR="00365A5C" w:rsidRPr="007C03C7" w:rsidRDefault="00365A5C" w:rsidP="00DB30F8">
            <w:pPr>
              <w:ind w:left="567"/>
              <w:jc w:val="both"/>
              <w:rPr>
                <w:highlight w:val="yellow"/>
              </w:rPr>
            </w:pPr>
            <w:r w:rsidRPr="007C03C7">
              <w:rPr>
                <w:strike/>
                <w:highlight w:val="yellow"/>
              </w:rPr>
              <w:t xml:space="preserve">bei </w:t>
            </w:r>
            <w:r w:rsidRPr="007C03C7">
              <w:rPr>
                <w:b/>
                <w:strike/>
                <w:highlight w:val="yellow"/>
              </w:rPr>
              <w:t xml:space="preserve">Bareinzahlung: </w:t>
            </w:r>
            <w:r w:rsidRPr="007C03C7">
              <w:rPr>
                <w:strike/>
                <w:highlight w:val="yellow"/>
              </w:rPr>
              <w:t xml:space="preserve">die </w:t>
            </w:r>
            <w:r w:rsidRPr="007C03C7">
              <w:rPr>
                <w:b/>
                <w:bCs/>
                <w:strike/>
                <w:highlight w:val="yellow"/>
              </w:rPr>
              <w:t xml:space="preserve">Bestätigung der Zahlung (Kassenzettel – </w:t>
            </w:r>
            <w:proofErr w:type="spellStart"/>
            <w:r w:rsidRPr="007C03C7">
              <w:rPr>
                <w:b/>
                <w:bCs/>
                <w:strike/>
                <w:highlight w:val="yellow"/>
              </w:rPr>
              <w:t>Lottomatica</w:t>
            </w:r>
            <w:proofErr w:type="spellEnd"/>
            <w:r w:rsidRPr="007C03C7">
              <w:rPr>
                <w:b/>
                <w:bCs/>
                <w:strike/>
                <w:highlight w:val="yellow"/>
              </w:rPr>
              <w:t>)</w:t>
            </w:r>
            <w:r w:rsidRPr="007C03C7">
              <w:rPr>
                <w:bCs/>
                <w:strike/>
                <w:highlight w:val="yellow"/>
              </w:rPr>
              <w:t>,</w:t>
            </w:r>
            <w:r w:rsidRPr="007C03C7">
              <w:rPr>
                <w:strike/>
                <w:highlight w:val="yellow"/>
              </w:rPr>
              <w:t xml:space="preserve"> die bei </w:t>
            </w:r>
            <w:r w:rsidRPr="007C03C7">
              <w:rPr>
                <w:bCs/>
                <w:iCs/>
                <w:strike/>
                <w:highlight w:val="yellow"/>
              </w:rPr>
              <w:t>allen</w:t>
            </w:r>
            <w:r w:rsidRPr="007C03C7">
              <w:rPr>
                <w:strike/>
                <w:highlight w:val="yellow"/>
              </w:rPr>
              <w:t xml:space="preserve"> Verkaufsstellen der autorisierten Tabakläden ausgestellt wird. Die Zahlung kann, versehen mit dem Zahlungsvordruck des Einzugsdienstes, bei den genannten</w:t>
            </w:r>
            <w:r w:rsidRPr="007C03C7">
              <w:rPr>
                <w:highlight w:val="yellow"/>
              </w:rPr>
              <w:t xml:space="preserve"> Verkaufsstellen durchgeführt werden und ist im PDF-Format im Portal hochzuladen; </w:t>
            </w:r>
          </w:p>
        </w:tc>
        <w:tc>
          <w:tcPr>
            <w:tcW w:w="709" w:type="dxa"/>
          </w:tcPr>
          <w:p w14:paraId="74117913" w14:textId="77777777" w:rsidR="00365A5C" w:rsidRPr="007C03C7" w:rsidRDefault="00365A5C" w:rsidP="00DB30F8">
            <w:pPr>
              <w:jc w:val="both"/>
              <w:rPr>
                <w:highlight w:val="yellow"/>
              </w:rPr>
            </w:pPr>
          </w:p>
        </w:tc>
        <w:tc>
          <w:tcPr>
            <w:tcW w:w="4110" w:type="dxa"/>
          </w:tcPr>
          <w:p w14:paraId="11B5A6AC" w14:textId="77C29C6A" w:rsidR="00482855" w:rsidRPr="007C03C7" w:rsidRDefault="00365A5C" w:rsidP="00DB30F8">
            <w:pPr>
              <w:numPr>
                <w:ilvl w:val="0"/>
                <w:numId w:val="3"/>
              </w:numPr>
              <w:jc w:val="both"/>
              <w:rPr>
                <w:highlight w:val="yellow"/>
                <w:lang w:val="it-IT"/>
              </w:rPr>
            </w:pPr>
            <w:r w:rsidRPr="007C03C7">
              <w:rPr>
                <w:rStyle w:val="Fett"/>
                <w:highlight w:val="yellow"/>
                <w:lang w:val="it-IT"/>
              </w:rPr>
              <w:t>"Pagamento mediante avviso"</w:t>
            </w:r>
            <w:r w:rsidRPr="007C03C7">
              <w:rPr>
                <w:highlight w:val="yellow"/>
                <w:lang w:val="it-IT"/>
              </w:rPr>
              <w:t xml:space="preserve"> utilizzando le infrastrutture messe a disposizione da un Prestatore dei Servizi di Pagamento (PSP) abilitato a </w:t>
            </w:r>
            <w:proofErr w:type="spellStart"/>
            <w:r w:rsidRPr="007C03C7">
              <w:rPr>
                <w:highlight w:val="yellow"/>
                <w:lang w:val="it-IT"/>
              </w:rPr>
              <w:t>pagoPA</w:t>
            </w:r>
            <w:proofErr w:type="spellEnd"/>
            <w:r w:rsidRPr="007C03C7">
              <w:rPr>
                <w:highlight w:val="yellow"/>
                <w:lang w:val="it-IT"/>
              </w:rPr>
              <w:t xml:space="preserve"> (sportelli ATM, applicazioni di home banking - servizio CBILL e di mobile payment, punti della rete di vendita dei generi di monopolio - tabaccai, SISAL e Lottomatica, casse predisposte presso la Grande Distribuzione Organizzata, ecc</w:t>
            </w:r>
            <w:r w:rsidR="00DC1FBE" w:rsidRPr="007C03C7">
              <w:rPr>
                <w:highlight w:val="yellow"/>
                <w:lang w:val="it-IT"/>
              </w:rPr>
              <w:t>.</w:t>
            </w:r>
            <w:r w:rsidR="00B06E47" w:rsidRPr="007C03C7">
              <w:rPr>
                <w:highlight w:val="yellow"/>
                <w:lang w:val="it-IT"/>
              </w:rPr>
              <w:t>)</w:t>
            </w:r>
            <w:r w:rsidR="00DC1FBE" w:rsidRPr="007C03C7">
              <w:rPr>
                <w:highlight w:val="yellow"/>
                <w:lang w:val="it-IT"/>
              </w:rPr>
              <w:t xml:space="preserve"> </w:t>
            </w:r>
          </w:p>
          <w:p w14:paraId="70851551" w14:textId="137BC9D1" w:rsidR="00365A5C" w:rsidRPr="007C03C7" w:rsidRDefault="00DC1FBE" w:rsidP="00DB30F8">
            <w:pPr>
              <w:ind w:left="426"/>
              <w:jc w:val="both"/>
              <w:rPr>
                <w:b/>
                <w:highlight w:val="yellow"/>
                <w:lang w:val="it-IT"/>
              </w:rPr>
            </w:pPr>
            <w:r w:rsidRPr="007C03C7">
              <w:rPr>
                <w:b/>
                <w:highlight w:val="yellow"/>
                <w:lang w:val="it-IT"/>
              </w:rPr>
              <w:t>I</w:t>
            </w:r>
            <w:r w:rsidR="00365A5C" w:rsidRPr="007C03C7">
              <w:rPr>
                <w:b/>
                <w:highlight w:val="yellow"/>
                <w:lang w:val="it-IT"/>
              </w:rPr>
              <w:t xml:space="preserve">l nuovo servizio non consente il pagamento presso i PSP senza l’avviso di </w:t>
            </w:r>
            <w:r w:rsidR="00365A5C" w:rsidRPr="007C03C7">
              <w:rPr>
                <w:b/>
                <w:highlight w:val="yellow"/>
                <w:lang w:val="it-IT"/>
              </w:rPr>
              <w:lastRenderedPageBreak/>
              <w:t>pagamento ovvero con la sola indicazione del CIG e del codice fiscale dell</w:t>
            </w:r>
            <w:r w:rsidR="00482855" w:rsidRPr="007C03C7">
              <w:rPr>
                <w:b/>
                <w:highlight w:val="yellow"/>
                <w:lang w:val="it-IT"/>
              </w:rPr>
              <w:t>’operatore economico</w:t>
            </w:r>
            <w:r w:rsidR="00365A5C" w:rsidRPr="007C03C7">
              <w:rPr>
                <w:b/>
                <w:highlight w:val="yellow"/>
                <w:lang w:val="it-IT"/>
              </w:rPr>
              <w:t>.</w:t>
            </w:r>
          </w:p>
          <w:p w14:paraId="2169419D" w14:textId="21E50104" w:rsidR="003A261A" w:rsidRPr="00DB30F8" w:rsidRDefault="003A261A" w:rsidP="00DB30F8">
            <w:pPr>
              <w:ind w:left="420"/>
              <w:jc w:val="both"/>
              <w:rPr>
                <w:b/>
                <w:highlight w:val="yellow"/>
                <w:lang w:val="it-IT"/>
              </w:rPr>
            </w:pPr>
            <w:r w:rsidRPr="00DB30F8">
              <w:rPr>
                <w:b/>
                <w:highlight w:val="yellow"/>
                <w:lang w:val="it-IT"/>
              </w:rPr>
              <w:t xml:space="preserve">L'elenco dei PSP attivi e dei canali abilitati a ricevere pagamenti tramite </w:t>
            </w:r>
            <w:proofErr w:type="spellStart"/>
            <w:r w:rsidRPr="00DB30F8">
              <w:rPr>
                <w:b/>
                <w:highlight w:val="yellow"/>
                <w:lang w:val="it-IT"/>
              </w:rPr>
              <w:t>pagoPA</w:t>
            </w:r>
            <w:proofErr w:type="spellEnd"/>
            <w:r w:rsidRPr="00DB30F8">
              <w:rPr>
                <w:b/>
                <w:highlight w:val="yellow"/>
                <w:lang w:val="it-IT"/>
              </w:rPr>
              <w:t xml:space="preserve"> sono disponibili all’indirizzo </w:t>
            </w:r>
            <w:hyperlink r:id="rId8" w:history="1">
              <w:r w:rsidRPr="00DB30F8">
                <w:rPr>
                  <w:b/>
                  <w:color w:val="0000FF"/>
                  <w:highlight w:val="yellow"/>
                  <w:u w:val="single"/>
                  <w:lang w:val="it-IT"/>
                </w:rPr>
                <w:t>www.pagopa.gov.it</w:t>
              </w:r>
            </w:hyperlink>
            <w:r w:rsidRPr="00DB30F8">
              <w:rPr>
                <w:b/>
                <w:highlight w:val="yellow"/>
                <w:lang w:val="it-IT"/>
              </w:rPr>
              <w:t>.</w:t>
            </w:r>
          </w:p>
          <w:p w14:paraId="5D5EB9B9" w14:textId="3C8FAD1A" w:rsidR="00365A5C" w:rsidRPr="007C03C7" w:rsidRDefault="00365A5C" w:rsidP="00DB30F8">
            <w:pPr>
              <w:ind w:left="420"/>
              <w:jc w:val="both"/>
              <w:rPr>
                <w:strike/>
                <w:highlight w:val="yellow"/>
                <w:lang w:val="it-IT"/>
              </w:rPr>
            </w:pPr>
            <w:r w:rsidRPr="007C03C7">
              <w:rPr>
                <w:strike/>
                <w:highlight w:val="yellow"/>
                <w:lang w:val="it-IT"/>
              </w:rPr>
              <w:t xml:space="preserve">in caso di pagamento </w:t>
            </w:r>
            <w:r w:rsidRPr="007C03C7">
              <w:rPr>
                <w:b/>
                <w:strike/>
                <w:highlight w:val="yellow"/>
                <w:lang w:val="it-IT"/>
              </w:rPr>
              <w:t>in contanti:</w:t>
            </w:r>
            <w:r w:rsidRPr="007C03C7">
              <w:rPr>
                <w:strike/>
                <w:highlight w:val="yellow"/>
                <w:lang w:val="it-IT"/>
              </w:rPr>
              <w:t xml:space="preserve"> </w:t>
            </w:r>
            <w:r w:rsidRPr="007C03C7">
              <w:rPr>
                <w:b/>
                <w:bCs/>
                <w:strike/>
                <w:highlight w:val="yellow"/>
                <w:lang w:val="it-IT"/>
              </w:rPr>
              <w:t>la ricevuta di pagamento</w:t>
            </w:r>
            <w:r w:rsidRPr="007C03C7">
              <w:rPr>
                <w:b/>
                <w:strike/>
                <w:highlight w:val="yellow"/>
                <w:lang w:val="it-IT"/>
              </w:rPr>
              <w:t xml:space="preserve"> (scontrino – Lottomatica),</w:t>
            </w:r>
            <w:r w:rsidRPr="007C03C7">
              <w:rPr>
                <w:strike/>
                <w:highlight w:val="yellow"/>
                <w:lang w:val="it-IT"/>
              </w:rPr>
              <w:t xml:space="preserve"> rilasciata da tutti i punti vendita dei tabaccai lottisti abilitati. Il pagamento potrà essere eseguito, muniti del modello di pagamento rilasciato dal Servizio di riscossione, presso i predetti punti vendita, </w:t>
            </w:r>
            <w:r w:rsidRPr="007C03C7">
              <w:rPr>
                <w:bCs/>
                <w:iCs/>
                <w:strike/>
                <w:highlight w:val="yellow"/>
                <w:lang w:val="it-IT"/>
              </w:rPr>
              <w:t>da inserire nel portale in formato PDF</w:t>
            </w:r>
            <w:r w:rsidRPr="007C03C7">
              <w:rPr>
                <w:strike/>
                <w:highlight w:val="yellow"/>
                <w:lang w:val="it-IT"/>
              </w:rPr>
              <w:t>;</w:t>
            </w:r>
          </w:p>
        </w:tc>
      </w:tr>
      <w:tr w:rsidR="00365A5C" w:rsidRPr="0005194A" w14:paraId="78D058D1" w14:textId="77777777" w:rsidTr="006864C0">
        <w:tc>
          <w:tcPr>
            <w:tcW w:w="4537" w:type="dxa"/>
          </w:tcPr>
          <w:p w14:paraId="208BC51D" w14:textId="4700F6CA" w:rsidR="00365A5C" w:rsidRDefault="00B06E47" w:rsidP="00365A5C">
            <w:pPr>
              <w:rPr>
                <w:b/>
              </w:rPr>
            </w:pPr>
            <w:r>
              <w:rPr>
                <w:highlight w:val="yellow"/>
              </w:rPr>
              <w:lastRenderedPageBreak/>
              <w:t>Bei Schwierigkeiten bitten wir Sie</w:t>
            </w:r>
            <w:r w:rsidR="00482855" w:rsidRPr="00482855">
              <w:rPr>
                <w:highlight w:val="yellow"/>
              </w:rPr>
              <w:t xml:space="preserve"> folgende grüne Nummer der ANAC </w:t>
            </w:r>
            <w:r w:rsidR="00482855" w:rsidRPr="00482855">
              <w:rPr>
                <w:b/>
                <w:highlight w:val="yellow"/>
              </w:rPr>
              <w:t>800-</w:t>
            </w:r>
            <w:r w:rsidR="00482855" w:rsidRPr="00DB30F8">
              <w:rPr>
                <w:b/>
                <w:highlight w:val="yellow"/>
              </w:rPr>
              <w:t>896936</w:t>
            </w:r>
            <w:r w:rsidRPr="00DB30F8">
              <w:rPr>
                <w:b/>
                <w:highlight w:val="yellow"/>
              </w:rPr>
              <w:t xml:space="preserve"> </w:t>
            </w:r>
            <w:r w:rsidRPr="00DB30F8">
              <w:rPr>
                <w:highlight w:val="yellow"/>
              </w:rPr>
              <w:t xml:space="preserve">zu </w:t>
            </w:r>
            <w:r w:rsidR="00DB30F8" w:rsidRPr="00DB30F8">
              <w:rPr>
                <w:highlight w:val="yellow"/>
              </w:rPr>
              <w:t>kontaktieren</w:t>
            </w:r>
            <w:r w:rsidR="00482855" w:rsidRPr="00DB30F8">
              <w:rPr>
                <w:highlight w:val="yellow"/>
              </w:rPr>
              <w:t>.</w:t>
            </w:r>
          </w:p>
          <w:p w14:paraId="45C5ACAF" w14:textId="3DA0BD3C" w:rsidR="00A365BF" w:rsidRPr="00A365BF" w:rsidRDefault="00A365BF" w:rsidP="00365A5C">
            <w:r w:rsidRPr="00A365BF">
              <w:rPr>
                <w:highlight w:val="yellow"/>
              </w:rPr>
              <w:t xml:space="preserve">Vom Ausland </w:t>
            </w:r>
            <w:r w:rsidR="00B06E47">
              <w:rPr>
                <w:highlight w:val="yellow"/>
              </w:rPr>
              <w:t>kann die</w:t>
            </w:r>
            <w:r w:rsidRPr="00A365BF">
              <w:rPr>
                <w:highlight w:val="yellow"/>
              </w:rPr>
              <w:t xml:space="preserve"> Nummer</w:t>
            </w:r>
            <w:r w:rsidRPr="00A365BF">
              <w:rPr>
                <w:b/>
                <w:highlight w:val="yellow"/>
              </w:rPr>
              <w:t xml:space="preserve"> +39 02 49520512 </w:t>
            </w:r>
            <w:r w:rsidRPr="00A365BF">
              <w:rPr>
                <w:highlight w:val="yellow"/>
              </w:rPr>
              <w:t>(zahlungspflichtig, wobei die Tarife des jeweiligen Telefonanbieters zur Anwendung kommen)</w:t>
            </w:r>
            <w:r w:rsidR="00B06E47">
              <w:rPr>
                <w:highlight w:val="yellow"/>
              </w:rPr>
              <w:t xml:space="preserve"> gewählt werden</w:t>
            </w:r>
            <w:r w:rsidRPr="00A365BF">
              <w:rPr>
                <w:highlight w:val="yellow"/>
              </w:rPr>
              <w:t>.</w:t>
            </w:r>
          </w:p>
        </w:tc>
        <w:tc>
          <w:tcPr>
            <w:tcW w:w="709" w:type="dxa"/>
          </w:tcPr>
          <w:p w14:paraId="4B7E8CDE" w14:textId="77777777" w:rsidR="00365A5C" w:rsidRPr="00482855" w:rsidRDefault="00365A5C" w:rsidP="00365A5C"/>
        </w:tc>
        <w:tc>
          <w:tcPr>
            <w:tcW w:w="4110" w:type="dxa"/>
          </w:tcPr>
          <w:p w14:paraId="1A2C3ACB" w14:textId="3BA8E143" w:rsidR="00E358A8" w:rsidRDefault="00CC1467" w:rsidP="00E358A8">
            <w:pPr>
              <w:jc w:val="both"/>
              <w:rPr>
                <w:highlight w:val="yellow"/>
                <w:lang w:val="it-IT"/>
              </w:rPr>
            </w:pPr>
            <w:r w:rsidRPr="002056A9">
              <w:rPr>
                <w:highlight w:val="yellow"/>
                <w:lang w:val="it-IT"/>
              </w:rPr>
              <w:t>In caso di difficoltà si contatti il numero verde dell’ANAC</w:t>
            </w:r>
            <w:r w:rsidR="00E358A8">
              <w:rPr>
                <w:highlight w:val="yellow"/>
                <w:lang w:val="it-IT"/>
              </w:rPr>
              <w:t xml:space="preserve"> </w:t>
            </w:r>
            <w:r w:rsidR="00E358A8" w:rsidRPr="00482855">
              <w:rPr>
                <w:b/>
                <w:highlight w:val="yellow"/>
                <w:lang w:val="it-IT"/>
              </w:rPr>
              <w:t>800-896936</w:t>
            </w:r>
            <w:r w:rsidR="00E358A8" w:rsidRPr="00E358A8">
              <w:rPr>
                <w:highlight w:val="yellow"/>
                <w:lang w:val="it-IT"/>
              </w:rPr>
              <w:t>.</w:t>
            </w:r>
          </w:p>
          <w:p w14:paraId="50EEEB93" w14:textId="28DF50D1" w:rsidR="002056A9" w:rsidRPr="0075699F" w:rsidRDefault="00E358A8" w:rsidP="00E358A8">
            <w:pPr>
              <w:jc w:val="both"/>
              <w:rPr>
                <w:rFonts w:ascii="Arial" w:hAnsi="Arial" w:cs="Arial"/>
                <w:color w:val="222222"/>
                <w:sz w:val="21"/>
                <w:szCs w:val="21"/>
                <w:lang w:val="it-IT"/>
              </w:rPr>
            </w:pPr>
            <w:r>
              <w:rPr>
                <w:highlight w:val="yellow"/>
                <w:lang w:val="it-IT"/>
              </w:rPr>
              <w:t>D</w:t>
            </w:r>
            <w:r w:rsidRPr="00E358A8">
              <w:rPr>
                <w:highlight w:val="yellow"/>
                <w:lang w:val="it-IT"/>
              </w:rPr>
              <w:t xml:space="preserve">all'estero il servizio risponde al </w:t>
            </w:r>
            <w:r w:rsidRPr="00482855">
              <w:rPr>
                <w:b/>
                <w:highlight w:val="yellow"/>
                <w:lang w:val="it-IT"/>
              </w:rPr>
              <w:t>+39 02 49520512</w:t>
            </w:r>
            <w:r w:rsidRPr="00E358A8">
              <w:rPr>
                <w:highlight w:val="yellow"/>
                <w:lang w:val="it-IT"/>
              </w:rPr>
              <w:t>, a pagamento in base al piano tariffario applicato dai diversi gestori telefonici.</w:t>
            </w:r>
          </w:p>
        </w:tc>
      </w:tr>
      <w:tr w:rsidR="00365A5C" w:rsidRPr="0005194A" w14:paraId="1793E54F" w14:textId="77777777" w:rsidTr="006864C0">
        <w:tc>
          <w:tcPr>
            <w:tcW w:w="4537" w:type="dxa"/>
          </w:tcPr>
          <w:p w14:paraId="6BEC31C6" w14:textId="77777777" w:rsidR="00365A5C" w:rsidRPr="007C03C7" w:rsidRDefault="00365A5C" w:rsidP="00DB30F8">
            <w:pPr>
              <w:jc w:val="both"/>
              <w:rPr>
                <w:strike/>
                <w:highlight w:val="yellow"/>
              </w:rPr>
            </w:pPr>
            <w:r w:rsidRPr="007C03C7">
              <w:rPr>
                <w:strike/>
                <w:highlight w:val="yellow"/>
              </w:rPr>
              <w:t>In den Fällen a) und b) sind als Einzahlungsgrund ausschließlich</w:t>
            </w:r>
          </w:p>
          <w:p w14:paraId="5F3E6FD7" w14:textId="77777777" w:rsidR="00365A5C" w:rsidRPr="007C03C7" w:rsidRDefault="00365A5C" w:rsidP="00DB30F8">
            <w:pPr>
              <w:jc w:val="both"/>
              <w:rPr>
                <w:strike/>
                <w:highlight w:val="yellow"/>
              </w:rPr>
            </w:pPr>
            <w:r w:rsidRPr="007C03C7">
              <w:rPr>
                <w:strike/>
                <w:highlight w:val="yellow"/>
              </w:rPr>
              <w:t xml:space="preserve">- die Steuernummer des Teilnehmers und </w:t>
            </w:r>
          </w:p>
          <w:p w14:paraId="79556F22" w14:textId="77777777" w:rsidR="00365A5C" w:rsidRPr="007C03C7" w:rsidRDefault="00365A5C" w:rsidP="00DB30F8">
            <w:pPr>
              <w:jc w:val="both"/>
              <w:rPr>
                <w:strike/>
                <w:highlight w:val="yellow"/>
              </w:rPr>
            </w:pPr>
            <w:r w:rsidRPr="007C03C7">
              <w:rPr>
                <w:strike/>
                <w:highlight w:val="yellow"/>
              </w:rPr>
              <w:t>- der CIG-Code zur Identifizierung des Ausschreibungsverfahrens</w:t>
            </w:r>
          </w:p>
          <w:p w14:paraId="5D9557FF" w14:textId="77777777" w:rsidR="00365A5C" w:rsidRPr="007C03C7" w:rsidRDefault="00365A5C" w:rsidP="00DB30F8">
            <w:pPr>
              <w:jc w:val="both"/>
              <w:rPr>
                <w:strike/>
                <w:highlight w:val="yellow"/>
              </w:rPr>
            </w:pPr>
            <w:r w:rsidRPr="007C03C7">
              <w:rPr>
                <w:strike/>
                <w:highlight w:val="yellow"/>
              </w:rPr>
              <w:t xml:space="preserve">anzugeben. </w:t>
            </w:r>
          </w:p>
          <w:p w14:paraId="455DBA29" w14:textId="77777777" w:rsidR="00365A5C" w:rsidRPr="007C03C7" w:rsidRDefault="00365A5C" w:rsidP="00DB30F8">
            <w:pPr>
              <w:jc w:val="both"/>
              <w:rPr>
                <w:strike/>
                <w:highlight w:val="yellow"/>
              </w:rPr>
            </w:pPr>
          </w:p>
        </w:tc>
        <w:tc>
          <w:tcPr>
            <w:tcW w:w="709" w:type="dxa"/>
          </w:tcPr>
          <w:p w14:paraId="37BB9FA5" w14:textId="77777777" w:rsidR="00365A5C" w:rsidRPr="007C03C7" w:rsidRDefault="00365A5C" w:rsidP="00DB30F8">
            <w:pPr>
              <w:jc w:val="both"/>
              <w:rPr>
                <w:strike/>
                <w:highlight w:val="yellow"/>
              </w:rPr>
            </w:pPr>
          </w:p>
        </w:tc>
        <w:tc>
          <w:tcPr>
            <w:tcW w:w="4110" w:type="dxa"/>
          </w:tcPr>
          <w:p w14:paraId="33E8543C" w14:textId="77777777" w:rsidR="00365A5C" w:rsidRPr="007C03C7" w:rsidRDefault="00365A5C" w:rsidP="00DB30F8">
            <w:pPr>
              <w:jc w:val="both"/>
              <w:rPr>
                <w:strike/>
                <w:highlight w:val="yellow"/>
                <w:lang w:val="it-IT"/>
              </w:rPr>
            </w:pPr>
            <w:r w:rsidRPr="007C03C7">
              <w:rPr>
                <w:strike/>
                <w:highlight w:val="yellow"/>
                <w:lang w:val="it-IT"/>
              </w:rPr>
              <w:t>Nei casi a) e b) la causale del versamento deve riportare esclusivamente:</w:t>
            </w:r>
          </w:p>
          <w:p w14:paraId="72F44CB9" w14:textId="77777777" w:rsidR="00365A5C" w:rsidRPr="007C03C7" w:rsidRDefault="00365A5C" w:rsidP="00DB30F8">
            <w:pPr>
              <w:jc w:val="both"/>
              <w:rPr>
                <w:strike/>
                <w:highlight w:val="yellow"/>
                <w:lang w:val="it-IT"/>
              </w:rPr>
            </w:pPr>
          </w:p>
          <w:p w14:paraId="213047A0" w14:textId="77777777" w:rsidR="00365A5C" w:rsidRPr="007C03C7" w:rsidRDefault="00365A5C" w:rsidP="00DB30F8">
            <w:pPr>
              <w:jc w:val="both"/>
              <w:rPr>
                <w:strike/>
                <w:highlight w:val="yellow"/>
                <w:lang w:val="it-IT"/>
              </w:rPr>
            </w:pPr>
            <w:r w:rsidRPr="007C03C7">
              <w:rPr>
                <w:strike/>
                <w:highlight w:val="yellow"/>
                <w:lang w:val="it-IT"/>
              </w:rPr>
              <w:t>- il codice fiscale del concorrente;</w:t>
            </w:r>
          </w:p>
          <w:p w14:paraId="543886B0" w14:textId="77777777" w:rsidR="00365A5C" w:rsidRPr="007C03C7" w:rsidRDefault="00365A5C" w:rsidP="00DB30F8">
            <w:pPr>
              <w:jc w:val="both"/>
              <w:rPr>
                <w:strike/>
                <w:highlight w:val="yellow"/>
                <w:lang w:val="it-IT"/>
              </w:rPr>
            </w:pPr>
            <w:r w:rsidRPr="007C03C7">
              <w:rPr>
                <w:strike/>
                <w:highlight w:val="yellow"/>
                <w:lang w:val="it-IT"/>
              </w:rPr>
              <w:t>- il CIG che identifica la procedura alla quale si intende partecipare.</w:t>
            </w:r>
          </w:p>
        </w:tc>
      </w:tr>
      <w:tr w:rsidR="00365A5C" w:rsidRPr="0005194A" w14:paraId="0BF9D5FD" w14:textId="77777777" w:rsidTr="006864C0">
        <w:tc>
          <w:tcPr>
            <w:tcW w:w="4537" w:type="dxa"/>
          </w:tcPr>
          <w:p w14:paraId="1FD0B33C" w14:textId="77777777" w:rsidR="00365A5C" w:rsidRPr="007C03C7" w:rsidRDefault="00365A5C" w:rsidP="00DB30F8">
            <w:pPr>
              <w:numPr>
                <w:ilvl w:val="0"/>
                <w:numId w:val="3"/>
              </w:numPr>
              <w:jc w:val="both"/>
              <w:rPr>
                <w:strike/>
                <w:highlight w:val="yellow"/>
              </w:rPr>
            </w:pPr>
            <w:r w:rsidRPr="007C03C7">
              <w:rPr>
                <w:b/>
                <w:strike/>
                <w:highlight w:val="yellow"/>
              </w:rPr>
              <w:t>nur für ausländische Teilnehmer:</w:t>
            </w:r>
            <w:r w:rsidRPr="007C03C7">
              <w:rPr>
                <w:strike/>
                <w:highlight w:val="yellow"/>
              </w:rPr>
              <w:t xml:space="preserve"> bei Einzahlung mittels </w:t>
            </w:r>
            <w:r w:rsidRPr="007C03C7">
              <w:rPr>
                <w:b/>
                <w:strike/>
                <w:highlight w:val="yellow"/>
              </w:rPr>
              <w:t>internationaler Banküberweisung</w:t>
            </w:r>
            <w:r w:rsidRPr="007C03C7">
              <w:rPr>
                <w:strike/>
                <w:highlight w:val="yellow"/>
              </w:rPr>
              <w:t xml:space="preserve"> auf das Bankkonto Nr. 4806788 bei der Monte </w:t>
            </w:r>
            <w:proofErr w:type="spellStart"/>
            <w:r w:rsidRPr="007C03C7">
              <w:rPr>
                <w:strike/>
                <w:highlight w:val="yellow"/>
              </w:rPr>
              <w:t>dei</w:t>
            </w:r>
            <w:proofErr w:type="spellEnd"/>
            <w:r w:rsidRPr="007C03C7">
              <w:rPr>
                <w:strike/>
                <w:highlight w:val="yellow"/>
              </w:rPr>
              <w:t xml:space="preserve"> </w:t>
            </w:r>
            <w:proofErr w:type="spellStart"/>
            <w:r w:rsidRPr="007C03C7">
              <w:rPr>
                <w:strike/>
                <w:highlight w:val="yellow"/>
              </w:rPr>
              <w:t>Paschi</w:t>
            </w:r>
            <w:proofErr w:type="spellEnd"/>
            <w:r w:rsidRPr="007C03C7">
              <w:rPr>
                <w:strike/>
                <w:highlight w:val="yellow"/>
              </w:rPr>
              <w:t xml:space="preserve"> di Siena (IBAN: IT 77 O 01030 03200 0000 04806788), (BIC: PASCITMMROM) lautend auf die „</w:t>
            </w:r>
            <w:proofErr w:type="spellStart"/>
            <w:r w:rsidRPr="007C03C7">
              <w:rPr>
                <w:strike/>
                <w:highlight w:val="yellow"/>
              </w:rPr>
              <w:t>Autorità</w:t>
            </w:r>
            <w:proofErr w:type="spellEnd"/>
            <w:r w:rsidRPr="007C03C7">
              <w:rPr>
                <w:strike/>
                <w:highlight w:val="yellow"/>
              </w:rPr>
              <w:t xml:space="preserve"> </w:t>
            </w:r>
            <w:proofErr w:type="spellStart"/>
            <w:r w:rsidRPr="007C03C7">
              <w:rPr>
                <w:strike/>
                <w:highlight w:val="yellow"/>
              </w:rPr>
              <w:t>Nazionale</w:t>
            </w:r>
            <w:proofErr w:type="spellEnd"/>
            <w:r w:rsidRPr="007C03C7">
              <w:rPr>
                <w:strike/>
                <w:highlight w:val="yellow"/>
              </w:rPr>
              <w:t xml:space="preserve"> </w:t>
            </w:r>
            <w:proofErr w:type="spellStart"/>
            <w:r w:rsidRPr="007C03C7">
              <w:rPr>
                <w:strike/>
                <w:highlight w:val="yellow"/>
              </w:rPr>
              <w:t>Anticorruzione</w:t>
            </w:r>
            <w:proofErr w:type="spellEnd"/>
            <w:r w:rsidRPr="007C03C7">
              <w:rPr>
                <w:strike/>
                <w:highlight w:val="yellow"/>
              </w:rPr>
              <w:t xml:space="preserve">”; die </w:t>
            </w:r>
            <w:r w:rsidRPr="007C03C7">
              <w:rPr>
                <w:b/>
                <w:bCs/>
                <w:strike/>
                <w:highlight w:val="yellow"/>
                <w:u w:val="single"/>
              </w:rPr>
              <w:t>Bestätigung der Zahlung</w:t>
            </w:r>
            <w:r w:rsidRPr="007C03C7">
              <w:rPr>
                <w:bCs/>
                <w:strike/>
                <w:highlight w:val="yellow"/>
              </w:rPr>
              <w:t xml:space="preserve">, </w:t>
            </w:r>
            <w:r w:rsidRPr="007C03C7">
              <w:rPr>
                <w:strike/>
                <w:highlight w:val="yellow"/>
              </w:rPr>
              <w:t xml:space="preserve">als PDF–Datei im Portal hochzuladen. </w:t>
            </w:r>
          </w:p>
        </w:tc>
        <w:tc>
          <w:tcPr>
            <w:tcW w:w="709" w:type="dxa"/>
          </w:tcPr>
          <w:p w14:paraId="2478CCBB" w14:textId="77777777" w:rsidR="00365A5C" w:rsidRPr="007C03C7" w:rsidRDefault="00365A5C" w:rsidP="00DB30F8">
            <w:pPr>
              <w:jc w:val="both"/>
              <w:rPr>
                <w:strike/>
                <w:highlight w:val="yellow"/>
              </w:rPr>
            </w:pPr>
          </w:p>
        </w:tc>
        <w:tc>
          <w:tcPr>
            <w:tcW w:w="4110" w:type="dxa"/>
          </w:tcPr>
          <w:p w14:paraId="4952E3CC" w14:textId="77777777" w:rsidR="00365A5C" w:rsidRPr="007C03C7" w:rsidRDefault="00365A5C" w:rsidP="00DB30F8">
            <w:pPr>
              <w:numPr>
                <w:ilvl w:val="0"/>
                <w:numId w:val="4"/>
              </w:numPr>
              <w:jc w:val="both"/>
              <w:rPr>
                <w:strike/>
                <w:highlight w:val="yellow"/>
                <w:lang w:val="it-IT"/>
              </w:rPr>
            </w:pPr>
            <w:r w:rsidRPr="007C03C7">
              <w:rPr>
                <w:b/>
                <w:strike/>
                <w:highlight w:val="yellow"/>
                <w:lang w:val="it-IT"/>
              </w:rPr>
              <w:t>per i soli operatori economici esteri</w:t>
            </w:r>
            <w:r w:rsidRPr="007C03C7">
              <w:rPr>
                <w:strike/>
                <w:highlight w:val="yellow"/>
                <w:lang w:val="it-IT"/>
              </w:rPr>
              <w:t xml:space="preserve">, in caso di versamento mediante </w:t>
            </w:r>
            <w:r w:rsidRPr="007C03C7">
              <w:rPr>
                <w:b/>
                <w:strike/>
                <w:highlight w:val="yellow"/>
                <w:lang w:val="it-IT"/>
              </w:rPr>
              <w:t>bonifico bancario internazionale,</w:t>
            </w:r>
            <w:r w:rsidRPr="007C03C7">
              <w:rPr>
                <w:strike/>
                <w:highlight w:val="yellow"/>
                <w:lang w:val="it-IT"/>
              </w:rPr>
              <w:t xml:space="preserve"> sul conto corrente bancario n. 4806788, aperto presso il Monte dei Paschi di Siena (IBAN: IT 77 O 01030 03200 0000 04806788), (BIC: PASCITMMROM) intestato all’Autorità Nazionale Anticorruzione: </w:t>
            </w:r>
            <w:r w:rsidRPr="007C03C7">
              <w:rPr>
                <w:b/>
                <w:bCs/>
                <w:strike/>
                <w:highlight w:val="yellow"/>
                <w:u w:val="single"/>
                <w:lang w:val="it-IT"/>
              </w:rPr>
              <w:t>ricevuta del versamento,</w:t>
            </w:r>
            <w:r w:rsidRPr="007C03C7">
              <w:rPr>
                <w:strike/>
                <w:highlight w:val="yellow"/>
                <w:lang w:val="it-IT"/>
              </w:rPr>
              <w:t xml:space="preserve"> </w:t>
            </w:r>
            <w:r w:rsidRPr="007C03C7">
              <w:rPr>
                <w:bCs/>
                <w:iCs/>
                <w:strike/>
                <w:highlight w:val="yellow"/>
                <w:lang w:val="it-IT"/>
              </w:rPr>
              <w:t>da inserire nel portale in formato PDF</w:t>
            </w:r>
            <w:r w:rsidRPr="007C03C7">
              <w:rPr>
                <w:strike/>
                <w:highlight w:val="yellow"/>
                <w:lang w:val="it-IT"/>
              </w:rPr>
              <w:t>.</w:t>
            </w:r>
          </w:p>
        </w:tc>
      </w:tr>
      <w:tr w:rsidR="00365A5C" w:rsidRPr="0005194A" w14:paraId="16D4D140" w14:textId="77777777" w:rsidTr="006864C0">
        <w:tc>
          <w:tcPr>
            <w:tcW w:w="4537" w:type="dxa"/>
          </w:tcPr>
          <w:p w14:paraId="0A930C53" w14:textId="77777777" w:rsidR="00365A5C" w:rsidRPr="00365A5C" w:rsidRDefault="00365A5C" w:rsidP="00365A5C">
            <w:pPr>
              <w:rPr>
                <w:b/>
                <w:lang w:val="it-IT"/>
              </w:rPr>
            </w:pPr>
          </w:p>
        </w:tc>
        <w:tc>
          <w:tcPr>
            <w:tcW w:w="709" w:type="dxa"/>
          </w:tcPr>
          <w:p w14:paraId="464C9595" w14:textId="77777777" w:rsidR="00365A5C" w:rsidRPr="00365A5C" w:rsidRDefault="00365A5C" w:rsidP="00365A5C">
            <w:pPr>
              <w:rPr>
                <w:lang w:val="it-IT"/>
              </w:rPr>
            </w:pPr>
          </w:p>
        </w:tc>
        <w:tc>
          <w:tcPr>
            <w:tcW w:w="4110" w:type="dxa"/>
          </w:tcPr>
          <w:p w14:paraId="03134F46" w14:textId="77777777" w:rsidR="00365A5C" w:rsidRPr="00365A5C" w:rsidRDefault="00365A5C" w:rsidP="00365A5C">
            <w:pPr>
              <w:rPr>
                <w:b/>
                <w:lang w:val="it-IT"/>
              </w:rPr>
            </w:pPr>
          </w:p>
        </w:tc>
      </w:tr>
      <w:tr w:rsidR="00365A5C" w:rsidRPr="0005194A" w14:paraId="68D71887" w14:textId="77777777" w:rsidTr="006864C0">
        <w:tc>
          <w:tcPr>
            <w:tcW w:w="4537" w:type="dxa"/>
          </w:tcPr>
          <w:p w14:paraId="7D6C4D27" w14:textId="77777777" w:rsidR="00365A5C" w:rsidRPr="00365A5C" w:rsidRDefault="00365A5C" w:rsidP="00365A5C">
            <w:pPr>
              <w:rPr>
                <w:lang w:val="it-IT"/>
              </w:rPr>
            </w:pPr>
          </w:p>
        </w:tc>
        <w:tc>
          <w:tcPr>
            <w:tcW w:w="709" w:type="dxa"/>
          </w:tcPr>
          <w:p w14:paraId="3ED8DE42" w14:textId="77777777" w:rsidR="00365A5C" w:rsidRPr="00365A5C" w:rsidRDefault="00365A5C" w:rsidP="00365A5C">
            <w:pPr>
              <w:rPr>
                <w:lang w:val="it-IT"/>
              </w:rPr>
            </w:pPr>
          </w:p>
        </w:tc>
        <w:tc>
          <w:tcPr>
            <w:tcW w:w="4110" w:type="dxa"/>
          </w:tcPr>
          <w:p w14:paraId="20D36504" w14:textId="77777777" w:rsidR="00365A5C" w:rsidRPr="00365A5C" w:rsidRDefault="00365A5C" w:rsidP="00365A5C">
            <w:pPr>
              <w:rPr>
                <w:lang w:val="it-IT"/>
              </w:rPr>
            </w:pPr>
          </w:p>
        </w:tc>
      </w:tr>
      <w:tr w:rsidR="00365A5C" w:rsidRPr="0005194A" w14:paraId="598FAB65" w14:textId="77777777" w:rsidTr="006864C0">
        <w:tc>
          <w:tcPr>
            <w:tcW w:w="4537" w:type="dxa"/>
            <w:shd w:val="clear" w:color="auto" w:fill="auto"/>
          </w:tcPr>
          <w:p w14:paraId="1ED4D739" w14:textId="77777777" w:rsidR="00365A5C" w:rsidRPr="007C03C7" w:rsidRDefault="00365A5C" w:rsidP="00DB30F8">
            <w:pPr>
              <w:jc w:val="both"/>
              <w:rPr>
                <w:strike/>
                <w:highlight w:val="yellow"/>
              </w:rPr>
            </w:pPr>
            <w:r w:rsidRPr="007C03C7">
              <w:rPr>
                <w:strike/>
                <w:highlight w:val="yellow"/>
              </w:rPr>
              <w:t>Das Wertstellungsdatum der Überweisung darf nicht nach Ablauf der Frist für die Anagebotsabgabe liegen.</w:t>
            </w:r>
          </w:p>
          <w:p w14:paraId="665179ED" w14:textId="13A57AD7" w:rsidR="00365A5C" w:rsidRPr="007C03C7" w:rsidRDefault="00365A5C" w:rsidP="00DB30F8">
            <w:pPr>
              <w:jc w:val="both"/>
              <w:rPr>
                <w:highlight w:val="yellow"/>
              </w:rPr>
            </w:pPr>
          </w:p>
        </w:tc>
        <w:tc>
          <w:tcPr>
            <w:tcW w:w="709" w:type="dxa"/>
          </w:tcPr>
          <w:p w14:paraId="5EBF593B" w14:textId="77777777" w:rsidR="00365A5C" w:rsidRPr="007C03C7" w:rsidRDefault="00365A5C" w:rsidP="00DB30F8">
            <w:pPr>
              <w:jc w:val="both"/>
              <w:rPr>
                <w:strike/>
                <w:highlight w:val="yellow"/>
              </w:rPr>
            </w:pPr>
          </w:p>
        </w:tc>
        <w:tc>
          <w:tcPr>
            <w:tcW w:w="4110" w:type="dxa"/>
          </w:tcPr>
          <w:p w14:paraId="6DCF07FE" w14:textId="77777777" w:rsidR="00365A5C" w:rsidRPr="007C03C7" w:rsidRDefault="00365A5C" w:rsidP="00DB30F8">
            <w:pPr>
              <w:jc w:val="both"/>
              <w:rPr>
                <w:strike/>
                <w:highlight w:val="yellow"/>
                <w:lang w:val="it-IT"/>
              </w:rPr>
            </w:pPr>
            <w:r w:rsidRPr="007C03C7">
              <w:rPr>
                <w:strike/>
                <w:highlight w:val="yellow"/>
                <w:lang w:val="it-IT"/>
              </w:rPr>
              <w:t xml:space="preserve">La data di valuta di accredito del versamento non </w:t>
            </w:r>
            <w:proofErr w:type="spellStart"/>
            <w:r w:rsidRPr="007C03C7">
              <w:rPr>
                <w:strike/>
                <w:highlight w:val="yellow"/>
                <w:lang w:val="it-IT"/>
              </w:rPr>
              <w:t>dovra’</w:t>
            </w:r>
            <w:proofErr w:type="spellEnd"/>
            <w:r w:rsidRPr="007C03C7">
              <w:rPr>
                <w:strike/>
                <w:highlight w:val="yellow"/>
                <w:lang w:val="it-IT"/>
              </w:rPr>
              <w:t xml:space="preserve"> essere successiva alla data di scadenza di presentazione delle offerte. </w:t>
            </w:r>
          </w:p>
          <w:p w14:paraId="3A729A21" w14:textId="6731D468" w:rsidR="00365A5C" w:rsidRPr="007C03C7" w:rsidRDefault="00365A5C" w:rsidP="00DB30F8">
            <w:pPr>
              <w:jc w:val="both"/>
              <w:rPr>
                <w:highlight w:val="yellow"/>
                <w:lang w:val="it-IT"/>
              </w:rPr>
            </w:pPr>
          </w:p>
        </w:tc>
      </w:tr>
      <w:tr w:rsidR="007B53AF" w:rsidRPr="0005194A" w14:paraId="6D5B7F6D" w14:textId="77777777" w:rsidTr="006864C0">
        <w:tc>
          <w:tcPr>
            <w:tcW w:w="4537" w:type="dxa"/>
            <w:shd w:val="clear" w:color="auto" w:fill="auto"/>
          </w:tcPr>
          <w:p w14:paraId="1F84C272" w14:textId="77777777" w:rsidR="007B53AF" w:rsidRPr="007B53AF" w:rsidRDefault="007B53AF" w:rsidP="00365A5C">
            <w:pPr>
              <w:rPr>
                <w:strike/>
                <w:highlight w:val="red"/>
                <w:lang w:val="it-IT"/>
              </w:rPr>
            </w:pPr>
          </w:p>
        </w:tc>
        <w:tc>
          <w:tcPr>
            <w:tcW w:w="709" w:type="dxa"/>
          </w:tcPr>
          <w:p w14:paraId="43245506" w14:textId="77777777" w:rsidR="007B53AF" w:rsidRPr="007B53AF" w:rsidRDefault="007B53AF" w:rsidP="00365A5C">
            <w:pPr>
              <w:rPr>
                <w:strike/>
                <w:highlight w:val="red"/>
                <w:lang w:val="it-IT"/>
              </w:rPr>
            </w:pPr>
          </w:p>
        </w:tc>
        <w:tc>
          <w:tcPr>
            <w:tcW w:w="4110" w:type="dxa"/>
          </w:tcPr>
          <w:p w14:paraId="63DE9734" w14:textId="77777777" w:rsidR="007B53AF" w:rsidRPr="00365A5C" w:rsidRDefault="007B53AF" w:rsidP="00365A5C">
            <w:pPr>
              <w:rPr>
                <w:strike/>
                <w:highlight w:val="red"/>
                <w:lang w:val="it-IT"/>
              </w:rPr>
            </w:pPr>
          </w:p>
        </w:tc>
      </w:tr>
      <w:tr w:rsidR="007B53AF" w:rsidRPr="0005194A" w14:paraId="716E14AA" w14:textId="77777777" w:rsidTr="006864C0">
        <w:tc>
          <w:tcPr>
            <w:tcW w:w="4537" w:type="dxa"/>
            <w:shd w:val="clear" w:color="auto" w:fill="auto"/>
          </w:tcPr>
          <w:p w14:paraId="0F855D57" w14:textId="77777777" w:rsidR="007B53AF" w:rsidRDefault="007B53AF" w:rsidP="00DB30F8">
            <w:pPr>
              <w:jc w:val="both"/>
            </w:pPr>
            <w:r w:rsidRPr="00365A5C">
              <w:t>Die letzte Frist für die Zahlung ist das Fälligkeitsdatum für die Einreichung des Angebots.</w:t>
            </w:r>
          </w:p>
          <w:p w14:paraId="0A5A8CFA" w14:textId="77777777" w:rsidR="007B53AF" w:rsidRPr="00365A5C" w:rsidRDefault="007B53AF" w:rsidP="00DB30F8">
            <w:pPr>
              <w:jc w:val="both"/>
            </w:pPr>
          </w:p>
        </w:tc>
        <w:tc>
          <w:tcPr>
            <w:tcW w:w="709" w:type="dxa"/>
          </w:tcPr>
          <w:p w14:paraId="4EDF1967" w14:textId="77777777" w:rsidR="007B53AF" w:rsidRPr="00365A5C" w:rsidRDefault="007B53AF" w:rsidP="00DB30F8">
            <w:pPr>
              <w:jc w:val="both"/>
            </w:pPr>
          </w:p>
        </w:tc>
        <w:tc>
          <w:tcPr>
            <w:tcW w:w="4110" w:type="dxa"/>
          </w:tcPr>
          <w:p w14:paraId="5FDE624D" w14:textId="77777777" w:rsidR="007B53AF" w:rsidRPr="00365A5C" w:rsidRDefault="007B53AF" w:rsidP="00DB30F8">
            <w:pPr>
              <w:jc w:val="both"/>
              <w:rPr>
                <w:lang w:val="it-IT"/>
              </w:rPr>
            </w:pPr>
            <w:r w:rsidRPr="00365A5C">
              <w:rPr>
                <w:lang w:val="it-IT"/>
              </w:rPr>
              <w:t xml:space="preserve">Il termine massimo per effettuare il pagamento coincide con il termine di scadenza per la presentazione dell'offerta. </w:t>
            </w:r>
          </w:p>
        </w:tc>
      </w:tr>
      <w:tr w:rsidR="001F7AAA" w:rsidRPr="0005194A" w14:paraId="485BB6AC" w14:textId="77777777" w:rsidTr="006864C0">
        <w:tc>
          <w:tcPr>
            <w:tcW w:w="4537" w:type="dxa"/>
            <w:shd w:val="clear" w:color="auto" w:fill="auto"/>
          </w:tcPr>
          <w:p w14:paraId="39F65ACB" w14:textId="2506F46C" w:rsidR="001F7AAA" w:rsidRPr="00365A5C" w:rsidRDefault="001F7AAA" w:rsidP="00DB30F8">
            <w:pPr>
              <w:jc w:val="both"/>
              <w:rPr>
                <w:strike/>
                <w:highlight w:val="red"/>
              </w:rPr>
            </w:pPr>
            <w:r w:rsidRPr="00365A5C">
              <w:t xml:space="preserve">Der Zahlungsbeleg muss im Portal hochgeladen werden </w:t>
            </w:r>
            <w:r w:rsidRPr="00611BCB">
              <w:rPr>
                <w:strike/>
                <w:highlight w:val="yellow"/>
              </w:rPr>
              <w:t>(</w:t>
            </w:r>
            <w:r w:rsidR="0075699F" w:rsidRPr="007C03C7">
              <w:rPr>
                <w:strike/>
                <w:highlight w:val="yellow"/>
              </w:rPr>
              <w:t>bei</w:t>
            </w:r>
            <w:r w:rsidRPr="007C03C7">
              <w:rPr>
                <w:strike/>
                <w:highlight w:val="yellow"/>
              </w:rPr>
              <w:t xml:space="preserve"> Banküberweisung </w:t>
            </w:r>
            <w:r w:rsidR="0075699F" w:rsidRPr="007C03C7">
              <w:rPr>
                <w:strike/>
                <w:highlight w:val="yellow"/>
              </w:rPr>
              <w:t xml:space="preserve">Beleg </w:t>
            </w:r>
            <w:r w:rsidRPr="007C03C7">
              <w:rPr>
                <w:strike/>
                <w:highlight w:val="yellow"/>
              </w:rPr>
              <w:t>mit CRO oder TRN).</w:t>
            </w:r>
          </w:p>
        </w:tc>
        <w:tc>
          <w:tcPr>
            <w:tcW w:w="709" w:type="dxa"/>
          </w:tcPr>
          <w:p w14:paraId="3B05EA8C" w14:textId="77777777" w:rsidR="001F7AAA" w:rsidRPr="00365A5C" w:rsidRDefault="001F7AAA" w:rsidP="00DB30F8">
            <w:pPr>
              <w:jc w:val="both"/>
              <w:rPr>
                <w:strike/>
                <w:highlight w:val="red"/>
              </w:rPr>
            </w:pPr>
          </w:p>
        </w:tc>
        <w:tc>
          <w:tcPr>
            <w:tcW w:w="4110" w:type="dxa"/>
          </w:tcPr>
          <w:p w14:paraId="35F61897" w14:textId="77777777" w:rsidR="001F7AAA" w:rsidRPr="007C03C7" w:rsidRDefault="00B15D86" w:rsidP="00DB30F8">
            <w:pPr>
              <w:jc w:val="both"/>
              <w:rPr>
                <w:strike/>
                <w:highlight w:val="yellow"/>
                <w:lang w:val="it-IT"/>
              </w:rPr>
            </w:pPr>
            <w:proofErr w:type="spellStart"/>
            <w:r w:rsidRPr="00365A5C">
              <w:rPr>
                <w:lang w:val="it-IT"/>
              </w:rPr>
              <w:t>Dovra’</w:t>
            </w:r>
            <w:proofErr w:type="spellEnd"/>
            <w:r w:rsidRPr="00365A5C">
              <w:rPr>
                <w:lang w:val="it-IT"/>
              </w:rPr>
              <w:t xml:space="preserve"> essere caricato a portale la ricevuta di pagamento </w:t>
            </w:r>
            <w:r w:rsidRPr="007C03C7">
              <w:rPr>
                <w:strike/>
                <w:highlight w:val="yellow"/>
                <w:lang w:val="it-IT"/>
              </w:rPr>
              <w:t>(distinta di versamento con CRO o TRN).</w:t>
            </w:r>
          </w:p>
          <w:p w14:paraId="6D03DDAA" w14:textId="10F44747" w:rsidR="00880B21" w:rsidRPr="00880B21" w:rsidRDefault="00880B21" w:rsidP="00DB30F8">
            <w:pPr>
              <w:jc w:val="both"/>
              <w:rPr>
                <w:strike/>
                <w:highlight w:val="red"/>
                <w:lang w:val="it-IT"/>
              </w:rPr>
            </w:pPr>
          </w:p>
        </w:tc>
      </w:tr>
      <w:tr w:rsidR="00365A5C" w:rsidRPr="0005194A" w14:paraId="3A027FE0" w14:textId="77777777" w:rsidTr="006864C0">
        <w:tc>
          <w:tcPr>
            <w:tcW w:w="4537" w:type="dxa"/>
            <w:shd w:val="clear" w:color="auto" w:fill="auto"/>
          </w:tcPr>
          <w:p w14:paraId="77AF1F80" w14:textId="0BA9B79F" w:rsidR="00880B21" w:rsidRPr="00F400D7" w:rsidRDefault="00880B21" w:rsidP="00365A5C">
            <w:pPr>
              <w:rPr>
                <w:b/>
                <w:lang w:val="it-IT"/>
              </w:rPr>
            </w:pPr>
          </w:p>
        </w:tc>
        <w:tc>
          <w:tcPr>
            <w:tcW w:w="709" w:type="dxa"/>
          </w:tcPr>
          <w:p w14:paraId="14585B3A" w14:textId="77777777" w:rsidR="00365A5C" w:rsidRPr="008F2A29" w:rsidRDefault="00365A5C" w:rsidP="00365A5C">
            <w:pPr>
              <w:rPr>
                <w:lang w:val="it-IT"/>
              </w:rPr>
            </w:pPr>
          </w:p>
        </w:tc>
        <w:tc>
          <w:tcPr>
            <w:tcW w:w="4110" w:type="dxa"/>
          </w:tcPr>
          <w:p w14:paraId="1CB07EF0" w14:textId="1AA888D5" w:rsidR="00365A5C" w:rsidRPr="00365A5C" w:rsidRDefault="00365A5C" w:rsidP="00365A5C">
            <w:pPr>
              <w:rPr>
                <w:lang w:val="it-IT"/>
              </w:rPr>
            </w:pPr>
          </w:p>
        </w:tc>
      </w:tr>
      <w:tr w:rsidR="00365A5C" w:rsidRPr="0005194A" w14:paraId="13717766" w14:textId="77777777" w:rsidTr="006864C0">
        <w:tc>
          <w:tcPr>
            <w:tcW w:w="4537" w:type="dxa"/>
          </w:tcPr>
          <w:p w14:paraId="38B56945" w14:textId="66419177" w:rsidR="00365A5C" w:rsidRDefault="00B06E47" w:rsidP="007B53AF">
            <w:pPr>
              <w:jc w:val="both"/>
              <w:rPr>
                <w:b/>
              </w:rPr>
            </w:pPr>
            <w:r>
              <w:rPr>
                <w:b/>
                <w:highlight w:val="yellow"/>
              </w:rPr>
              <w:t>Diese</w:t>
            </w:r>
            <w:r w:rsidRPr="00F400D7">
              <w:rPr>
                <w:b/>
                <w:highlight w:val="yellow"/>
              </w:rPr>
              <w:t xml:space="preserve"> </w:t>
            </w:r>
            <w:r w:rsidR="00F400D7" w:rsidRPr="00F400D7">
              <w:rPr>
                <w:b/>
                <w:highlight w:val="yellow"/>
              </w:rPr>
              <w:t>Zahlungsbelege sind in der Sektion „</w:t>
            </w:r>
            <w:proofErr w:type="spellStart"/>
            <w:r w:rsidR="00F400D7" w:rsidRPr="00F400D7">
              <w:rPr>
                <w:b/>
                <w:i/>
                <w:highlight w:val="yellow"/>
              </w:rPr>
              <w:t>pagamenti</w:t>
            </w:r>
            <w:proofErr w:type="spellEnd"/>
            <w:r w:rsidR="00F400D7" w:rsidRPr="00F400D7">
              <w:rPr>
                <w:b/>
                <w:i/>
                <w:highlight w:val="yellow"/>
              </w:rPr>
              <w:t xml:space="preserve"> </w:t>
            </w:r>
            <w:proofErr w:type="spellStart"/>
            <w:r w:rsidR="00F400D7" w:rsidRPr="00F400D7">
              <w:rPr>
                <w:b/>
                <w:i/>
                <w:highlight w:val="yellow"/>
              </w:rPr>
              <w:t>effettuati</w:t>
            </w:r>
            <w:proofErr w:type="spellEnd"/>
            <w:r w:rsidR="00F400D7" w:rsidRPr="00F400D7">
              <w:rPr>
                <w:b/>
                <w:highlight w:val="yellow"/>
              </w:rPr>
              <w:t xml:space="preserve">“ (getätigte Zahlungen) verfügbar, nachdem die Zahlung positiv zum Abschluss gebracht wurde und die Aufsichtsbehörde </w:t>
            </w:r>
            <w:r>
              <w:rPr>
                <w:b/>
                <w:highlight w:val="yellow"/>
              </w:rPr>
              <w:t>die</w:t>
            </w:r>
            <w:r w:rsidRPr="00F400D7">
              <w:rPr>
                <w:b/>
                <w:highlight w:val="yellow"/>
              </w:rPr>
              <w:t xml:space="preserve"> </w:t>
            </w:r>
            <w:r w:rsidR="00F400D7" w:rsidRPr="00F400D7">
              <w:rPr>
                <w:b/>
                <w:highlight w:val="yellow"/>
              </w:rPr>
              <w:t xml:space="preserve">telematische </w:t>
            </w:r>
            <w:r w:rsidRPr="00F400D7">
              <w:rPr>
                <w:b/>
                <w:highlight w:val="yellow"/>
              </w:rPr>
              <w:t>Zahlungs</w:t>
            </w:r>
            <w:r>
              <w:rPr>
                <w:b/>
                <w:highlight w:val="yellow"/>
              </w:rPr>
              <w:t>bestätigung</w:t>
            </w:r>
            <w:r w:rsidR="00F400D7" w:rsidRPr="00F400D7">
              <w:rPr>
                <w:b/>
                <w:highlight w:val="yellow"/>
              </w:rPr>
              <w:t>, welche von den PSP übermittelt wird, erhalten hat.</w:t>
            </w:r>
          </w:p>
          <w:p w14:paraId="0CF0812E" w14:textId="3C6E15A8" w:rsidR="00F400D7" w:rsidRPr="00F400D7" w:rsidRDefault="00B06E47" w:rsidP="007B53AF">
            <w:pPr>
              <w:jc w:val="both"/>
              <w:rPr>
                <w:b/>
              </w:rPr>
            </w:pPr>
            <w:r>
              <w:rPr>
                <w:b/>
                <w:highlight w:val="yellow"/>
              </w:rPr>
              <w:t>Wann immer</w:t>
            </w:r>
            <w:r w:rsidR="00F400D7" w:rsidRPr="00F400D7">
              <w:rPr>
                <w:b/>
                <w:highlight w:val="yellow"/>
              </w:rPr>
              <w:t xml:space="preserve"> die Notwendigkeit besteht, den Zahlungsbeleg innerhalb kürzester Zeit zu erhalten, </w:t>
            </w:r>
            <w:r w:rsidRPr="007C03C7">
              <w:rPr>
                <w:b/>
                <w:highlight w:val="yellow"/>
              </w:rPr>
              <w:t>wird empfohlen</w:t>
            </w:r>
            <w:r w:rsidR="00DB30F8">
              <w:rPr>
                <w:b/>
                <w:highlight w:val="yellow"/>
              </w:rPr>
              <w:t>,</w:t>
            </w:r>
            <w:r w:rsidRPr="007C03C7">
              <w:rPr>
                <w:b/>
                <w:highlight w:val="yellow"/>
              </w:rPr>
              <w:t xml:space="preserve"> die</w:t>
            </w:r>
            <w:r w:rsidR="00F400D7" w:rsidRPr="007C03C7">
              <w:rPr>
                <w:b/>
                <w:highlight w:val="yellow"/>
              </w:rPr>
              <w:t xml:space="preserve"> Zahlung frühestmöglich</w:t>
            </w:r>
            <w:r w:rsidR="00827B1D" w:rsidRPr="007C03C7">
              <w:rPr>
                <w:b/>
                <w:highlight w:val="yellow"/>
              </w:rPr>
              <w:t>,</w:t>
            </w:r>
            <w:r w:rsidR="00F400D7" w:rsidRPr="007C03C7">
              <w:rPr>
                <w:b/>
                <w:highlight w:val="yellow"/>
              </w:rPr>
              <w:t xml:space="preserve"> d.h. </w:t>
            </w:r>
            <w:r w:rsidRPr="007C03C7">
              <w:rPr>
                <w:b/>
                <w:highlight w:val="yellow"/>
              </w:rPr>
              <w:t>in einem angemessenen Zeitraum vor Gebrauch derselben</w:t>
            </w:r>
            <w:r w:rsidR="00F400D7" w:rsidRPr="007C03C7">
              <w:rPr>
                <w:b/>
                <w:highlight w:val="yellow"/>
              </w:rPr>
              <w:t xml:space="preserve">, </w:t>
            </w:r>
            <w:r w:rsidR="00DB30F8">
              <w:rPr>
                <w:b/>
                <w:highlight w:val="yellow"/>
              </w:rPr>
              <w:t>vorzunehmen</w:t>
            </w:r>
            <w:r w:rsidR="00F400D7" w:rsidRPr="007C03C7">
              <w:rPr>
                <w:b/>
                <w:highlight w:val="yellow"/>
              </w:rPr>
              <w:t>.</w:t>
            </w:r>
            <w:r w:rsidR="00F400D7">
              <w:rPr>
                <w:b/>
              </w:rPr>
              <w:t xml:space="preserve"> </w:t>
            </w:r>
          </w:p>
        </w:tc>
        <w:tc>
          <w:tcPr>
            <w:tcW w:w="709" w:type="dxa"/>
          </w:tcPr>
          <w:p w14:paraId="01987C29" w14:textId="77777777" w:rsidR="00365A5C" w:rsidRPr="00F400D7" w:rsidRDefault="00365A5C" w:rsidP="007B53AF">
            <w:pPr>
              <w:jc w:val="both"/>
            </w:pPr>
          </w:p>
        </w:tc>
        <w:tc>
          <w:tcPr>
            <w:tcW w:w="4110" w:type="dxa"/>
          </w:tcPr>
          <w:p w14:paraId="5C652EAA" w14:textId="78B02876" w:rsidR="007B53AF" w:rsidRDefault="00FB7225" w:rsidP="007B53AF">
            <w:pPr>
              <w:jc w:val="both"/>
              <w:rPr>
                <w:b/>
                <w:highlight w:val="yellow"/>
                <w:lang w:val="it-IT"/>
              </w:rPr>
            </w:pPr>
            <w:r w:rsidRPr="00D96F71">
              <w:rPr>
                <w:b/>
                <w:highlight w:val="yellow"/>
                <w:lang w:val="it-IT"/>
              </w:rPr>
              <w:t>Tali</w:t>
            </w:r>
            <w:r w:rsidR="007B53AF" w:rsidRPr="00D96F71">
              <w:rPr>
                <w:b/>
                <w:highlight w:val="yellow"/>
                <w:lang w:val="it-IT"/>
              </w:rPr>
              <w:t xml:space="preserve"> ricevute di pagamento saranno disponibili nella sezione “Pagamenti effettuati”, a conclusione dell'operazione di pagamento con esito positivo e alla ricezione, da parte dell’Autorità, della ricevuta telematica inviata dai PSP.</w:t>
            </w:r>
          </w:p>
          <w:p w14:paraId="190D32CD" w14:textId="77777777" w:rsidR="00DB30F8" w:rsidRPr="00D96F71" w:rsidRDefault="00DB30F8" w:rsidP="007B53AF">
            <w:pPr>
              <w:jc w:val="both"/>
              <w:rPr>
                <w:b/>
                <w:highlight w:val="yellow"/>
                <w:lang w:val="it-IT"/>
              </w:rPr>
            </w:pPr>
          </w:p>
          <w:p w14:paraId="51DFD815" w14:textId="39FA8FA3" w:rsidR="00365A5C" w:rsidRPr="00D96F71" w:rsidRDefault="00880B21" w:rsidP="007B53AF">
            <w:pPr>
              <w:jc w:val="both"/>
              <w:rPr>
                <w:b/>
                <w:lang w:val="it-IT"/>
              </w:rPr>
            </w:pPr>
            <w:r w:rsidRPr="00D96F71">
              <w:rPr>
                <w:b/>
                <w:highlight w:val="yellow"/>
                <w:lang w:val="it-IT"/>
              </w:rPr>
              <w:t>Ove le condizioni impongano la necessità di avere la ricevuta di pagamento in tempi ristretti, si raccomanda di procedere al pagamento con congruo anticipo rispetto al termine di utilizzo della stessa.</w:t>
            </w:r>
          </w:p>
        </w:tc>
      </w:tr>
      <w:tr w:rsidR="00365A5C" w:rsidRPr="0005194A" w14:paraId="04034E67" w14:textId="77777777" w:rsidTr="006864C0">
        <w:tc>
          <w:tcPr>
            <w:tcW w:w="4537" w:type="dxa"/>
          </w:tcPr>
          <w:p w14:paraId="02FE33DD" w14:textId="374F4FAB" w:rsidR="00365A5C" w:rsidRPr="00365A5C" w:rsidRDefault="00365A5C" w:rsidP="00611BCB">
            <w:pPr>
              <w:jc w:val="both"/>
            </w:pPr>
            <w:r w:rsidRPr="00365A5C">
              <w:t xml:space="preserve">Unabhängig von der Rechtsform des Teilnehmers, </w:t>
            </w:r>
            <w:r w:rsidR="00DB30F8">
              <w:t xml:space="preserve">und </w:t>
            </w:r>
            <w:r w:rsidRPr="00365A5C">
              <w:t xml:space="preserve">auch wenn es sich um einen vorübergehenden Zusammenschluss von Unternehmen handelt (BG, gewöhnliches Konsortium gemäß Art. 2602 ZGB oder EWIW), muss die Überweisung in einem einzigen Dokument enthalten und auf den Teilnehmer als Zusammenschluss bezogen sein. </w:t>
            </w:r>
          </w:p>
        </w:tc>
        <w:tc>
          <w:tcPr>
            <w:tcW w:w="709" w:type="dxa"/>
          </w:tcPr>
          <w:p w14:paraId="6D18546A" w14:textId="77777777" w:rsidR="00365A5C" w:rsidRPr="00365A5C" w:rsidRDefault="00365A5C" w:rsidP="00611BCB">
            <w:pPr>
              <w:jc w:val="both"/>
            </w:pPr>
          </w:p>
        </w:tc>
        <w:tc>
          <w:tcPr>
            <w:tcW w:w="4110" w:type="dxa"/>
          </w:tcPr>
          <w:p w14:paraId="596B4A04" w14:textId="77777777" w:rsidR="00365A5C" w:rsidRPr="00365A5C" w:rsidRDefault="00365A5C" w:rsidP="00611BCB">
            <w:pPr>
              <w:jc w:val="both"/>
              <w:rPr>
                <w:lang w:val="it-IT"/>
              </w:rPr>
            </w:pPr>
            <w:r w:rsidRPr="00365A5C">
              <w:rPr>
                <w:lang w:val="it-IT"/>
              </w:rPr>
              <w:t xml:space="preserve">Indipendentemente dalla forma giuridica del soggetto concorrente, anche qualora si tratti di un raggruppamento temporaneo d'imprese (riunione d'imprese o consorzio ordinario di concorrente ex art. 2602 c.c. o GEIE), il versamento deve essere contenuto in un unico documento, riferito al soggetto concorrente nella sua interezza. </w:t>
            </w:r>
          </w:p>
        </w:tc>
      </w:tr>
      <w:tr w:rsidR="00365A5C" w:rsidRPr="0005194A" w14:paraId="3370B7FB" w14:textId="77777777" w:rsidTr="006864C0">
        <w:tc>
          <w:tcPr>
            <w:tcW w:w="4537" w:type="dxa"/>
          </w:tcPr>
          <w:p w14:paraId="0DE37BD2" w14:textId="77777777" w:rsidR="00365A5C" w:rsidRPr="00365A5C" w:rsidRDefault="00365A5C" w:rsidP="00365A5C">
            <w:pPr>
              <w:rPr>
                <w:lang w:val="it-IT"/>
              </w:rPr>
            </w:pPr>
          </w:p>
        </w:tc>
        <w:tc>
          <w:tcPr>
            <w:tcW w:w="709" w:type="dxa"/>
          </w:tcPr>
          <w:p w14:paraId="6B11D5D1" w14:textId="77777777" w:rsidR="00365A5C" w:rsidRPr="00365A5C" w:rsidRDefault="00365A5C" w:rsidP="00365A5C">
            <w:pPr>
              <w:rPr>
                <w:lang w:val="it-IT"/>
              </w:rPr>
            </w:pPr>
          </w:p>
        </w:tc>
        <w:tc>
          <w:tcPr>
            <w:tcW w:w="4110" w:type="dxa"/>
          </w:tcPr>
          <w:p w14:paraId="2644AB6A" w14:textId="77777777" w:rsidR="00365A5C" w:rsidRPr="00365A5C" w:rsidRDefault="00365A5C" w:rsidP="00365A5C">
            <w:pPr>
              <w:rPr>
                <w:lang w:val="it-IT"/>
              </w:rPr>
            </w:pPr>
          </w:p>
        </w:tc>
      </w:tr>
      <w:tr w:rsidR="00365A5C" w:rsidRPr="0005194A" w14:paraId="3ECB1B31" w14:textId="77777777" w:rsidTr="006864C0">
        <w:tc>
          <w:tcPr>
            <w:tcW w:w="4537" w:type="dxa"/>
          </w:tcPr>
          <w:p w14:paraId="064EF40D" w14:textId="77777777" w:rsidR="00365A5C" w:rsidRPr="00365A5C" w:rsidRDefault="00365A5C" w:rsidP="00DB30F8">
            <w:pPr>
              <w:jc w:val="both"/>
            </w:pPr>
            <w:r w:rsidRPr="00365A5C">
              <w:t>Dieses einzige Überweisungsdokument ist nicht auf die Mitglieder der bereits gebildeten oder zu bildende BG aufteilbar.</w:t>
            </w:r>
          </w:p>
        </w:tc>
        <w:tc>
          <w:tcPr>
            <w:tcW w:w="709" w:type="dxa"/>
          </w:tcPr>
          <w:p w14:paraId="1DF53E5D" w14:textId="77777777" w:rsidR="00365A5C" w:rsidRPr="00365A5C" w:rsidRDefault="00365A5C" w:rsidP="00DB30F8">
            <w:pPr>
              <w:jc w:val="both"/>
            </w:pPr>
          </w:p>
        </w:tc>
        <w:tc>
          <w:tcPr>
            <w:tcW w:w="4110" w:type="dxa"/>
          </w:tcPr>
          <w:p w14:paraId="64662CA1" w14:textId="77777777" w:rsidR="00365A5C" w:rsidRPr="00365A5C" w:rsidRDefault="00365A5C" w:rsidP="00DB30F8">
            <w:pPr>
              <w:jc w:val="both"/>
              <w:rPr>
                <w:lang w:val="it-IT"/>
              </w:rPr>
            </w:pPr>
            <w:r w:rsidRPr="00365A5C">
              <w:rPr>
                <w:lang w:val="it-IT"/>
              </w:rPr>
              <w:t>Tale documento non può essere frazionato per ogni impresa che costituisce o che costituirà il raggruppamento.</w:t>
            </w:r>
          </w:p>
        </w:tc>
      </w:tr>
    </w:tbl>
    <w:p w14:paraId="15A6FB31" w14:textId="77777777" w:rsidR="00FE7684" w:rsidRPr="00365A5C" w:rsidRDefault="00FE7684">
      <w:pPr>
        <w:rPr>
          <w:lang w:val="it-IT"/>
        </w:rPr>
      </w:pPr>
    </w:p>
    <w:sectPr w:rsidR="00FE7684" w:rsidRPr="00365A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4CA1108F"/>
    <w:multiLevelType w:val="hybridMultilevel"/>
    <w:tmpl w:val="F69A2BB0"/>
    <w:lvl w:ilvl="0" w:tplc="093EFB98">
      <w:start w:val="3"/>
      <w:numFmt w:val="lowerLetter"/>
      <w:lvlText w:val="%1)"/>
      <w:lvlJc w:val="left"/>
      <w:pPr>
        <w:tabs>
          <w:tab w:val="num" w:pos="927"/>
        </w:tabs>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106CBA"/>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B770111"/>
    <w:multiLevelType w:val="multilevel"/>
    <w:tmpl w:val="3BE67488"/>
    <w:lvl w:ilvl="0">
      <w:start w:val="2"/>
      <w:numFmt w:val="decimal"/>
      <w:lvlText w:val="%1"/>
      <w:lvlJc w:val="left"/>
      <w:pPr>
        <w:ind w:left="360" w:hanging="360"/>
      </w:pPr>
      <w:rPr>
        <w:rFonts w:hint="default"/>
      </w:rPr>
    </w:lvl>
    <w:lvl w:ilvl="1">
      <w:start w:val="3"/>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84"/>
    <w:rsid w:val="0005194A"/>
    <w:rsid w:val="00061B83"/>
    <w:rsid w:val="001E4A4D"/>
    <w:rsid w:val="001F7AAA"/>
    <w:rsid w:val="002056A9"/>
    <w:rsid w:val="002479DE"/>
    <w:rsid w:val="00365A5C"/>
    <w:rsid w:val="00370204"/>
    <w:rsid w:val="003A261A"/>
    <w:rsid w:val="00482855"/>
    <w:rsid w:val="004A0168"/>
    <w:rsid w:val="004C6A12"/>
    <w:rsid w:val="004C7897"/>
    <w:rsid w:val="00546A79"/>
    <w:rsid w:val="00611BCB"/>
    <w:rsid w:val="006651B0"/>
    <w:rsid w:val="006864C0"/>
    <w:rsid w:val="0075699F"/>
    <w:rsid w:val="007B53AF"/>
    <w:rsid w:val="007C03C7"/>
    <w:rsid w:val="00827B1D"/>
    <w:rsid w:val="00853FB3"/>
    <w:rsid w:val="00880B21"/>
    <w:rsid w:val="008F2A29"/>
    <w:rsid w:val="009966AD"/>
    <w:rsid w:val="00A365BF"/>
    <w:rsid w:val="00AB21A0"/>
    <w:rsid w:val="00AF48CB"/>
    <w:rsid w:val="00AF6326"/>
    <w:rsid w:val="00B06E47"/>
    <w:rsid w:val="00B15D86"/>
    <w:rsid w:val="00BF6CA4"/>
    <w:rsid w:val="00C96130"/>
    <w:rsid w:val="00CC1467"/>
    <w:rsid w:val="00D211B3"/>
    <w:rsid w:val="00D96F71"/>
    <w:rsid w:val="00DA50ED"/>
    <w:rsid w:val="00DB30F8"/>
    <w:rsid w:val="00DC1FBE"/>
    <w:rsid w:val="00E358A8"/>
    <w:rsid w:val="00EC1E65"/>
    <w:rsid w:val="00F400D7"/>
    <w:rsid w:val="00FB7225"/>
    <w:rsid w:val="00FD6DE8"/>
    <w:rsid w:val="00FE7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91A9"/>
  <w15:chartTrackingRefBased/>
  <w15:docId w15:val="{528A75AD-B7F1-409A-A03C-6AF5D596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5A5C"/>
    <w:rPr>
      <w:color w:val="0563C1" w:themeColor="hyperlink"/>
      <w:u w:val="single"/>
    </w:rPr>
  </w:style>
  <w:style w:type="character" w:styleId="NichtaufgelsteErwhnung">
    <w:name w:val="Unresolved Mention"/>
    <w:basedOn w:val="Absatz-Standardschriftart"/>
    <w:uiPriority w:val="99"/>
    <w:semiHidden/>
    <w:unhideWhenUsed/>
    <w:rsid w:val="00365A5C"/>
    <w:rPr>
      <w:color w:val="605E5C"/>
      <w:shd w:val="clear" w:color="auto" w:fill="E1DFDD"/>
    </w:rPr>
  </w:style>
  <w:style w:type="character" w:styleId="Kommentarzeichen">
    <w:name w:val="annotation reference"/>
    <w:basedOn w:val="Absatz-Standardschriftart"/>
    <w:uiPriority w:val="99"/>
    <w:semiHidden/>
    <w:unhideWhenUsed/>
    <w:rsid w:val="00365A5C"/>
    <w:rPr>
      <w:sz w:val="16"/>
      <w:szCs w:val="16"/>
    </w:rPr>
  </w:style>
  <w:style w:type="paragraph" w:styleId="Kommentartext">
    <w:name w:val="annotation text"/>
    <w:basedOn w:val="Standard"/>
    <w:link w:val="KommentartextZchn"/>
    <w:uiPriority w:val="99"/>
    <w:semiHidden/>
    <w:unhideWhenUsed/>
    <w:rsid w:val="00365A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5A5C"/>
    <w:rPr>
      <w:sz w:val="20"/>
      <w:szCs w:val="20"/>
    </w:rPr>
  </w:style>
  <w:style w:type="paragraph" w:styleId="Kommentarthema">
    <w:name w:val="annotation subject"/>
    <w:basedOn w:val="Kommentartext"/>
    <w:next w:val="Kommentartext"/>
    <w:link w:val="KommentarthemaZchn"/>
    <w:uiPriority w:val="99"/>
    <w:semiHidden/>
    <w:unhideWhenUsed/>
    <w:rsid w:val="00365A5C"/>
    <w:rPr>
      <w:b/>
      <w:bCs/>
    </w:rPr>
  </w:style>
  <w:style w:type="character" w:customStyle="1" w:styleId="KommentarthemaZchn">
    <w:name w:val="Kommentarthema Zchn"/>
    <w:basedOn w:val="KommentartextZchn"/>
    <w:link w:val="Kommentarthema"/>
    <w:uiPriority w:val="99"/>
    <w:semiHidden/>
    <w:rsid w:val="00365A5C"/>
    <w:rPr>
      <w:b/>
      <w:bCs/>
      <w:sz w:val="20"/>
      <w:szCs w:val="20"/>
    </w:rPr>
  </w:style>
  <w:style w:type="paragraph" w:styleId="Sprechblasentext">
    <w:name w:val="Balloon Text"/>
    <w:basedOn w:val="Standard"/>
    <w:link w:val="SprechblasentextZchn"/>
    <w:uiPriority w:val="99"/>
    <w:semiHidden/>
    <w:unhideWhenUsed/>
    <w:rsid w:val="00365A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5A5C"/>
    <w:rPr>
      <w:rFonts w:ascii="Segoe UI" w:hAnsi="Segoe UI" w:cs="Segoe UI"/>
      <w:sz w:val="18"/>
      <w:szCs w:val="18"/>
    </w:rPr>
  </w:style>
  <w:style w:type="character" w:styleId="Fett">
    <w:name w:val="Strong"/>
    <w:basedOn w:val="Absatz-Standardschriftart"/>
    <w:uiPriority w:val="22"/>
    <w:qFormat/>
    <w:rsid w:val="00365A5C"/>
    <w:rPr>
      <w:b/>
      <w:bCs/>
    </w:rPr>
  </w:style>
  <w:style w:type="paragraph" w:styleId="Listenabsatz">
    <w:name w:val="List Paragraph"/>
    <w:basedOn w:val="Standard"/>
    <w:uiPriority w:val="34"/>
    <w:qFormat/>
    <w:rsid w:val="00365A5C"/>
    <w:pPr>
      <w:ind w:left="720"/>
      <w:contextualSpacing/>
    </w:pPr>
  </w:style>
  <w:style w:type="character" w:customStyle="1" w:styleId="e24kjd">
    <w:name w:val="e24kjd"/>
    <w:basedOn w:val="Absatz-Standardschriftart"/>
    <w:rsid w:val="002056A9"/>
  </w:style>
  <w:style w:type="paragraph" w:styleId="StandardWeb">
    <w:name w:val="Normal (Web)"/>
    <w:basedOn w:val="Standard"/>
    <w:uiPriority w:val="99"/>
    <w:unhideWhenUsed/>
    <w:rsid w:val="008F2A29"/>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4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opa.gov.it/" TargetMode="External"/><Relationship Id="rId3" Type="http://schemas.openxmlformats.org/officeDocument/2006/relationships/styles" Target="styles.xml"/><Relationship Id="rId7" Type="http://schemas.openxmlformats.org/officeDocument/2006/relationships/hyperlink" Target="http://www.pagopa.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ticorruzione.it/portal/public/classic/Servizi/ServiziOnline/Portaledeipagament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649FE-E278-4863-979E-47620969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9365</Characters>
  <Application>Microsoft Office Word</Application>
  <DocSecurity>0</DocSecurity>
  <Lines>78</Lines>
  <Paragraphs>21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Kofler, Sabine</dc:creator>
  <cp:keywords/>
  <dc:description/>
  <cp:lastModifiedBy>Kofler, Sabine</cp:lastModifiedBy>
  <cp:revision>7</cp:revision>
  <dcterms:created xsi:type="dcterms:W3CDTF">2019-11-26T11:01:00Z</dcterms:created>
  <dcterms:modified xsi:type="dcterms:W3CDTF">2019-11-27T08:00:00Z</dcterms:modified>
</cp:coreProperties>
</file>