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61"/>
        <w:gridCol w:w="4139"/>
      </w:tblGrid>
      <w:tr w:rsidR="00452941" w:rsidRPr="00496E56" w14:paraId="2A07FDEA" w14:textId="77777777" w:rsidTr="00A60A42">
        <w:tc>
          <w:tcPr>
            <w:tcW w:w="4139" w:type="dxa"/>
            <w:shd w:val="clear" w:color="auto" w:fill="EDEDED"/>
            <w:vAlign w:val="center"/>
          </w:tcPr>
          <w:p w14:paraId="4115D099" w14:textId="67A56727" w:rsidR="00087832" w:rsidRPr="00C77978" w:rsidRDefault="00312B42" w:rsidP="00CD2BEA">
            <w:pPr>
              <w:ind w:firstLine="284"/>
              <w:jc w:val="center"/>
              <w:rPr>
                <w:rFonts w:cs="Arial"/>
                <w:b/>
                <w:lang w:val="de-DE"/>
              </w:rPr>
            </w:pPr>
            <w:bookmarkStart w:id="0" w:name="_Hlk22207886"/>
            <w:r w:rsidRPr="00C77978">
              <w:rPr>
                <w:rFonts w:cs="Arial"/>
                <w:b/>
                <w:lang w:val="de-DE"/>
              </w:rPr>
              <w:t xml:space="preserve">Bekanntmachung </w:t>
            </w:r>
            <w:r w:rsidR="00087832" w:rsidRPr="00C77978">
              <w:rPr>
                <w:rFonts w:cs="Arial"/>
                <w:b/>
                <w:lang w:val="de-DE"/>
              </w:rPr>
              <w:t>einer</w:t>
            </w:r>
            <w:r w:rsidR="00CD2BEA" w:rsidRPr="00C77978">
              <w:rPr>
                <w:rFonts w:cs="Arial"/>
                <w:b/>
                <w:lang w:val="de-DE"/>
              </w:rPr>
              <w:t xml:space="preserve"> vor</w:t>
            </w:r>
            <w:r w:rsidR="00630BA3" w:rsidRPr="00C77978">
              <w:rPr>
                <w:rFonts w:cs="Arial"/>
                <w:b/>
                <w:lang w:val="de-DE"/>
              </w:rPr>
              <w:t>bereitenden</w:t>
            </w:r>
            <w:r w:rsidR="00CD2BEA" w:rsidRPr="00C77978">
              <w:rPr>
                <w:rFonts w:cs="Arial"/>
                <w:b/>
                <w:lang w:val="de-DE"/>
              </w:rPr>
              <w:t xml:space="preserve"> Marktkonsultation für </w:t>
            </w:r>
            <w:r w:rsidR="00CD2BEA" w:rsidRPr="00C77978">
              <w:rPr>
                <w:rFonts w:cs="Arial"/>
                <w:b/>
                <w:color w:val="FF0000"/>
                <w:lang w:val="de-DE"/>
              </w:rPr>
              <w:t>Arbeiten/Lieferungen/Leistungen</w:t>
            </w:r>
            <w:r w:rsidR="00CD2BEA" w:rsidRPr="00C77978">
              <w:rPr>
                <w:rFonts w:cs="Arial"/>
                <w:b/>
                <w:lang w:val="de-DE"/>
              </w:rPr>
              <w:t xml:space="preserve"> zur Vorbereitung einer Auftragsvergabe </w:t>
            </w:r>
          </w:p>
          <w:bookmarkEnd w:id="0"/>
          <w:p w14:paraId="7DCD53AD" w14:textId="46C2FAA1" w:rsidR="00CD2BEA" w:rsidRPr="00C77978" w:rsidRDefault="00CD2BEA" w:rsidP="00CD2BEA">
            <w:pPr>
              <w:ind w:firstLine="284"/>
              <w:jc w:val="center"/>
              <w:rPr>
                <w:rFonts w:cs="Arial"/>
                <w:b/>
                <w:lang w:val="de-DE"/>
              </w:rPr>
            </w:pPr>
            <w:r w:rsidRPr="00C77978">
              <w:rPr>
                <w:rFonts w:cs="Arial"/>
                <w:b/>
                <w:lang w:val="de-DE"/>
              </w:rPr>
              <w:t>(</w:t>
            </w:r>
            <w:r w:rsidR="00087832" w:rsidRPr="00C77978">
              <w:rPr>
                <w:rFonts w:cs="Arial"/>
                <w:b/>
                <w:lang w:val="de-DE"/>
              </w:rPr>
              <w:t>nach</w:t>
            </w:r>
            <w:r w:rsidRPr="00C77978">
              <w:rPr>
                <w:rFonts w:cs="Arial"/>
                <w:b/>
                <w:lang w:val="de-DE"/>
              </w:rPr>
              <w:t xml:space="preserve"> Art. 20 LG Nr. 16/2015 und 40 ff. Richtlinie 2014/24/EU)</w:t>
            </w:r>
          </w:p>
          <w:p w14:paraId="277EAD7E" w14:textId="77777777" w:rsidR="000D772D" w:rsidRPr="00C77978" w:rsidRDefault="000D772D" w:rsidP="000D772D">
            <w:pPr>
              <w:spacing w:line="240" w:lineRule="exact"/>
              <w:ind w:right="78"/>
              <w:jc w:val="center"/>
              <w:rPr>
                <w:b/>
                <w:noProof w:val="0"/>
                <w:lang w:val="de-DE"/>
              </w:rPr>
            </w:pPr>
          </w:p>
          <w:p w14:paraId="07DEBF64" w14:textId="796FF75A" w:rsidR="00496E56" w:rsidRPr="00C77978" w:rsidRDefault="00496E56" w:rsidP="00496E56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color w:val="FF0000"/>
                <w:sz w:val="18"/>
                <w:szCs w:val="18"/>
                <w:lang w:val="de-DE" w:eastAsia="ar-SA"/>
              </w:rPr>
            </w:pPr>
            <w:r w:rsidRPr="00C77978">
              <w:rPr>
                <w:rFonts w:cs="Arial"/>
                <w:i/>
                <w:noProof w:val="0"/>
                <w:color w:val="FF0000"/>
                <w:sz w:val="18"/>
                <w:szCs w:val="18"/>
                <w:lang w:val="de-DE" w:eastAsia="ar-SA"/>
              </w:rPr>
              <w:t>Rot: au</w:t>
            </w:r>
            <w:r w:rsidR="008E10B1">
              <w:rPr>
                <w:rFonts w:cs="Arial"/>
                <w:i/>
                <w:noProof w:val="0"/>
                <w:color w:val="FF0000"/>
                <w:sz w:val="18"/>
                <w:szCs w:val="18"/>
                <w:lang w:val="de-DE" w:eastAsia="ar-SA"/>
              </w:rPr>
              <w:t>s</w:t>
            </w:r>
            <w:r w:rsidRPr="00C77978">
              <w:rPr>
                <w:rFonts w:cs="Arial"/>
                <w:i/>
                <w:noProof w:val="0"/>
                <w:color w:val="FF0000"/>
                <w:sz w:val="18"/>
                <w:szCs w:val="18"/>
                <w:lang w:val="de-DE" w:eastAsia="ar-SA"/>
              </w:rPr>
              <w:t xml:space="preserve">zuwählen </w:t>
            </w:r>
          </w:p>
          <w:p w14:paraId="0761143B" w14:textId="77777777" w:rsidR="00496E56" w:rsidRPr="00C77978" w:rsidRDefault="00496E56" w:rsidP="00496E56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  <w:i/>
                <w:noProof w:val="0"/>
                <w:color w:val="00B050"/>
                <w:sz w:val="18"/>
                <w:szCs w:val="18"/>
                <w:lang w:val="de-DE" w:eastAsia="ar-SA"/>
              </w:rPr>
            </w:pPr>
            <w:r w:rsidRPr="00C77978">
              <w:rPr>
                <w:rFonts w:cs="Arial"/>
                <w:b/>
                <w:i/>
                <w:noProof w:val="0"/>
                <w:color w:val="00B050"/>
                <w:sz w:val="18"/>
                <w:szCs w:val="18"/>
                <w:lang w:val="de-DE" w:eastAsia="ar-SA"/>
              </w:rPr>
              <w:t>Grün: Anweisungen, zu löschen</w:t>
            </w:r>
          </w:p>
          <w:p w14:paraId="448E1460" w14:textId="4DDB3813" w:rsidR="00496E56" w:rsidRPr="00C77978" w:rsidRDefault="00A35C2E" w:rsidP="00496E56">
            <w:pPr>
              <w:spacing w:line="240" w:lineRule="exact"/>
              <w:ind w:right="78"/>
              <w:rPr>
                <w:b/>
                <w:noProof w:val="0"/>
                <w:lang w:val="de-DE"/>
              </w:rPr>
            </w:pPr>
            <w:r w:rsidRPr="00A35C2E">
              <w:rPr>
                <w:b/>
                <w:noProof w:val="0"/>
                <w:highlight w:val="green"/>
                <w:lang w:val="de-DE"/>
              </w:rPr>
              <w:t>0</w:t>
            </w:r>
            <w:r w:rsidR="004D17EC">
              <w:rPr>
                <w:b/>
                <w:noProof w:val="0"/>
                <w:highlight w:val="green"/>
                <w:lang w:val="de-DE"/>
              </w:rPr>
              <w:t>1</w:t>
            </w:r>
            <w:r w:rsidRPr="00A35C2E">
              <w:rPr>
                <w:b/>
                <w:noProof w:val="0"/>
                <w:highlight w:val="green"/>
                <w:lang w:val="de-DE"/>
              </w:rPr>
              <w:t>.0</w:t>
            </w:r>
            <w:r w:rsidR="004D17EC">
              <w:rPr>
                <w:b/>
                <w:noProof w:val="0"/>
                <w:highlight w:val="green"/>
                <w:lang w:val="de-DE"/>
              </w:rPr>
              <w:t>7</w:t>
            </w:r>
            <w:r w:rsidRPr="00A35C2E">
              <w:rPr>
                <w:b/>
                <w:noProof w:val="0"/>
                <w:highlight w:val="green"/>
                <w:lang w:val="de-DE"/>
              </w:rPr>
              <w:t>.2023</w:t>
            </w:r>
          </w:p>
          <w:p w14:paraId="4910188C" w14:textId="41D286E7" w:rsidR="00496E56" w:rsidRPr="00C77978" w:rsidRDefault="00496E56" w:rsidP="00496E56">
            <w:pPr>
              <w:spacing w:line="240" w:lineRule="exact"/>
              <w:ind w:right="78"/>
              <w:rPr>
                <w:b/>
                <w:noProof w:val="0"/>
                <w:lang w:val="de-DE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98A80B7" w14:textId="77777777" w:rsidR="00452941" w:rsidRPr="00C77978" w:rsidRDefault="00452941" w:rsidP="00174155">
            <w:pPr>
              <w:rPr>
                <w:lang w:val="de-DE"/>
              </w:rPr>
            </w:pPr>
          </w:p>
        </w:tc>
        <w:tc>
          <w:tcPr>
            <w:tcW w:w="4139" w:type="dxa"/>
            <w:shd w:val="clear" w:color="auto" w:fill="EDEDED"/>
            <w:vAlign w:val="center"/>
          </w:tcPr>
          <w:p w14:paraId="2C259299" w14:textId="77777777" w:rsidR="00087832" w:rsidRPr="00C77978" w:rsidRDefault="007424F5" w:rsidP="00CD2BEA">
            <w:pPr>
              <w:ind w:firstLine="284"/>
              <w:jc w:val="center"/>
              <w:rPr>
                <w:rFonts w:cs="Arial"/>
                <w:b/>
                <w:lang w:val="it-IT"/>
              </w:rPr>
            </w:pPr>
            <w:bookmarkStart w:id="1" w:name="_Hlk22207869"/>
            <w:r w:rsidRPr="00C77978">
              <w:rPr>
                <w:rFonts w:cs="Arial"/>
                <w:b/>
                <w:lang w:val="it-IT"/>
              </w:rPr>
              <w:t>Avviso</w:t>
            </w:r>
            <w:r w:rsidR="00CA3E59" w:rsidRPr="00C77978">
              <w:rPr>
                <w:rFonts w:cs="Arial"/>
                <w:b/>
                <w:lang w:val="it-IT"/>
              </w:rPr>
              <w:t xml:space="preserve"> </w:t>
            </w:r>
            <w:r w:rsidRPr="00C77978">
              <w:rPr>
                <w:rFonts w:cs="Arial"/>
                <w:b/>
                <w:lang w:val="it-IT"/>
              </w:rPr>
              <w:t xml:space="preserve">di </w:t>
            </w:r>
            <w:r w:rsidR="00097580" w:rsidRPr="00C77978">
              <w:rPr>
                <w:rFonts w:cs="Arial"/>
                <w:b/>
                <w:lang w:val="it-IT"/>
              </w:rPr>
              <w:t>c</w:t>
            </w:r>
            <w:r w:rsidR="00CD2BEA" w:rsidRPr="00C77978">
              <w:rPr>
                <w:rFonts w:cs="Arial"/>
                <w:b/>
                <w:lang w:val="it-IT"/>
              </w:rPr>
              <w:t xml:space="preserve">onsultazione preliminare di mercato per </w:t>
            </w:r>
            <w:r w:rsidR="00CD2BEA" w:rsidRPr="00C77978">
              <w:rPr>
                <w:rFonts w:cs="Arial"/>
                <w:b/>
                <w:color w:val="FF0000"/>
                <w:lang w:val="it-IT"/>
              </w:rPr>
              <w:t>lavoro / fornitura / servizio</w:t>
            </w:r>
            <w:r w:rsidR="00CD2BEA" w:rsidRPr="00C77978">
              <w:rPr>
                <w:rFonts w:cs="Arial"/>
                <w:b/>
                <w:lang w:val="it-IT"/>
              </w:rPr>
              <w:t xml:space="preserve"> ai fini della preparazione di un appalto </w:t>
            </w:r>
          </w:p>
          <w:bookmarkEnd w:id="1"/>
          <w:p w14:paraId="4DBD3E05" w14:textId="77777777" w:rsidR="004B3DB5" w:rsidRPr="00C77978" w:rsidRDefault="00CD2BEA" w:rsidP="00CD2BEA">
            <w:pPr>
              <w:ind w:firstLine="284"/>
              <w:jc w:val="center"/>
              <w:rPr>
                <w:rFonts w:cs="Arial"/>
                <w:b/>
                <w:lang w:val="it-IT"/>
              </w:rPr>
            </w:pPr>
            <w:r w:rsidRPr="00C77978">
              <w:rPr>
                <w:rFonts w:cs="Arial"/>
                <w:b/>
                <w:lang w:val="it-IT"/>
              </w:rPr>
              <w:t>(ex art. 20 LP n. 16/2015 e artt. 40 e ss. Direttiva 2014/24/UE)</w:t>
            </w:r>
          </w:p>
          <w:p w14:paraId="7756141F" w14:textId="77777777" w:rsidR="00496E56" w:rsidRPr="00C77978" w:rsidRDefault="00496E56" w:rsidP="00CD2BEA">
            <w:pPr>
              <w:ind w:firstLine="284"/>
              <w:jc w:val="center"/>
              <w:rPr>
                <w:rFonts w:cs="Arial"/>
                <w:b/>
                <w:lang w:val="it-IT"/>
              </w:rPr>
            </w:pPr>
          </w:p>
          <w:p w14:paraId="27D3C4F2" w14:textId="77777777" w:rsidR="00496E56" w:rsidRPr="00C77978" w:rsidRDefault="00496E56" w:rsidP="00496E56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color w:val="FF0000"/>
                <w:sz w:val="18"/>
                <w:szCs w:val="18"/>
                <w:lang w:val="it-IT" w:eastAsia="ar-SA"/>
              </w:rPr>
            </w:pPr>
            <w:r w:rsidRPr="00C77978">
              <w:rPr>
                <w:rFonts w:cs="Arial"/>
                <w:i/>
                <w:noProof w:val="0"/>
                <w:color w:val="FF0000"/>
                <w:sz w:val="18"/>
                <w:szCs w:val="18"/>
                <w:lang w:val="it-IT" w:eastAsia="ar-SA"/>
              </w:rPr>
              <w:t xml:space="preserve">Rosso: parti da scegliere </w:t>
            </w:r>
          </w:p>
          <w:p w14:paraId="023747A4" w14:textId="77777777" w:rsidR="00496E56" w:rsidRPr="00C77978" w:rsidRDefault="00496E56" w:rsidP="00496E56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  <w:i/>
                <w:noProof w:val="0"/>
                <w:color w:val="00B050"/>
                <w:sz w:val="18"/>
                <w:szCs w:val="18"/>
                <w:lang w:val="it-IT" w:eastAsia="ar-SA"/>
              </w:rPr>
            </w:pPr>
            <w:r w:rsidRPr="00C77978">
              <w:rPr>
                <w:rFonts w:cs="Arial"/>
                <w:b/>
                <w:i/>
                <w:noProof w:val="0"/>
                <w:color w:val="00B050"/>
                <w:sz w:val="18"/>
                <w:szCs w:val="18"/>
                <w:lang w:val="it-IT" w:eastAsia="ar-SA"/>
              </w:rPr>
              <w:t>Verde: istruzioni da togliere</w:t>
            </w:r>
          </w:p>
          <w:p w14:paraId="21789565" w14:textId="70012785" w:rsidR="00496E56" w:rsidRPr="00C77978" w:rsidRDefault="00496E56" w:rsidP="00CD2BEA">
            <w:pPr>
              <w:ind w:firstLine="284"/>
              <w:jc w:val="center"/>
              <w:rPr>
                <w:rFonts w:cs="Arial"/>
                <w:b/>
                <w:lang w:val="it-IT"/>
              </w:rPr>
            </w:pPr>
          </w:p>
        </w:tc>
      </w:tr>
      <w:tr w:rsidR="00350367" w:rsidRPr="00496E56" w14:paraId="49382824" w14:textId="77777777" w:rsidTr="000D772D">
        <w:tc>
          <w:tcPr>
            <w:tcW w:w="4139" w:type="dxa"/>
          </w:tcPr>
          <w:p w14:paraId="7E6CE164" w14:textId="77777777" w:rsidR="00350367" w:rsidRPr="004B3DB5" w:rsidRDefault="00350367" w:rsidP="00163246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1361" w:type="dxa"/>
          </w:tcPr>
          <w:p w14:paraId="320FA959" w14:textId="77777777" w:rsidR="00350367" w:rsidRPr="004B3DB5" w:rsidRDefault="0035036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1DE08417" w14:textId="77777777" w:rsidR="00350367" w:rsidRPr="004B3DB5" w:rsidRDefault="00350367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BE71EE" w:rsidRPr="008E10B1" w14:paraId="37015B65" w14:textId="77777777" w:rsidTr="000D772D">
        <w:tc>
          <w:tcPr>
            <w:tcW w:w="4139" w:type="dxa"/>
          </w:tcPr>
          <w:p w14:paraId="0A68D95A" w14:textId="77777777" w:rsidR="00CD2BEA" w:rsidRPr="00494B1D" w:rsidRDefault="00CD2BEA" w:rsidP="00CD2BEA">
            <w:pPr>
              <w:numPr>
                <w:ilvl w:val="0"/>
                <w:numId w:val="5"/>
              </w:numPr>
              <w:spacing w:line="240" w:lineRule="exact"/>
              <w:ind w:left="0" w:firstLine="0"/>
              <w:contextualSpacing/>
              <w:jc w:val="both"/>
              <w:rPr>
                <w:rFonts w:cs="Arial"/>
                <w:color w:val="000000"/>
                <w:lang w:val="de-DE" w:eastAsia="it-IT"/>
              </w:rPr>
            </w:pPr>
            <w:r w:rsidRPr="00494B1D">
              <w:rPr>
                <w:rFonts w:cs="Arial"/>
                <w:b/>
                <w:bCs/>
                <w:color w:val="000000"/>
                <w:lang w:val="de-DE" w:eastAsia="it-IT"/>
              </w:rPr>
              <w:t xml:space="preserve">Vergabestelle </w:t>
            </w:r>
          </w:p>
          <w:p w14:paraId="7367173A" w14:textId="597D21C7" w:rsidR="00BE71EE" w:rsidRPr="00CD2BEA" w:rsidRDefault="00CD2BEA" w:rsidP="00CD2B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de-DE" w:eastAsia="it-IT"/>
              </w:rPr>
            </w:pPr>
            <w:r w:rsidRPr="00494B1D">
              <w:rPr>
                <w:rFonts w:cs="Arial"/>
                <w:color w:val="FF0000"/>
                <w:lang w:val="de-DE" w:eastAsia="it-IT"/>
              </w:rPr>
              <w:t xml:space="preserve">Die Vergabestelle </w:t>
            </w:r>
            <w:r w:rsidR="00087832">
              <w:rPr>
                <w:rFonts w:cs="Arial"/>
                <w:color w:val="000000"/>
                <w:lang w:val="de-DE" w:eastAsia="it-IT"/>
              </w:rPr>
              <w:t>plant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087832">
              <w:rPr>
                <w:rFonts w:cs="Arial"/>
                <w:color w:val="000000"/>
                <w:lang w:val="de-DE" w:eastAsia="it-IT"/>
              </w:rPr>
              <w:t>eine</w:t>
            </w:r>
            <w:r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7D53EF">
              <w:rPr>
                <w:rFonts w:cs="Arial"/>
                <w:color w:val="000000"/>
                <w:lang w:val="de-DE" w:eastAsia="it-IT"/>
              </w:rPr>
              <w:t>vorbereitende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Marktkonsultation </w:t>
            </w:r>
            <w:r>
              <w:rPr>
                <w:rFonts w:cs="Arial"/>
                <w:color w:val="000000"/>
                <w:lang w:val="de-DE" w:eastAsia="it-IT"/>
              </w:rPr>
              <w:t>mit den Unternehmen und Freiberuflern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der Branche zur </w:t>
            </w:r>
            <w:r w:rsidR="00C52AB2">
              <w:rPr>
                <w:rFonts w:cs="Arial"/>
                <w:color w:val="000000"/>
                <w:lang w:val="de-DE" w:eastAsia="it-IT"/>
              </w:rPr>
              <w:t>Findung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einer </w:t>
            </w:r>
            <w:r w:rsidRPr="00494B1D">
              <w:rPr>
                <w:rFonts w:cs="Arial"/>
                <w:color w:val="FF0000"/>
                <w:lang w:val="de-DE" w:eastAsia="it-IT"/>
              </w:rPr>
              <w:t>technischen Lösung für die Lieferungen/Arbeiten/Leistungen.</w:t>
            </w:r>
          </w:p>
        </w:tc>
        <w:tc>
          <w:tcPr>
            <w:tcW w:w="1361" w:type="dxa"/>
          </w:tcPr>
          <w:p w14:paraId="54F2FB7D" w14:textId="77777777" w:rsidR="00BE71EE" w:rsidRPr="00BE71EE" w:rsidRDefault="00BE71EE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08A6C826" w14:textId="4116B35D" w:rsidR="00CD2BEA" w:rsidRPr="004E3804" w:rsidRDefault="00CD2BEA" w:rsidP="00CD2BEA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cs="Arial"/>
                <w:color w:val="000000"/>
                <w:lang w:eastAsia="it-IT"/>
              </w:rPr>
            </w:pPr>
            <w:r w:rsidRPr="004E3804">
              <w:rPr>
                <w:rFonts w:cs="Arial"/>
                <w:b/>
                <w:bCs/>
                <w:color w:val="000000"/>
                <w:lang w:eastAsia="it-IT"/>
              </w:rPr>
              <w:t xml:space="preserve">Stazione </w:t>
            </w:r>
            <w:r w:rsidR="00315EB8">
              <w:rPr>
                <w:rFonts w:cs="Arial"/>
                <w:b/>
                <w:bCs/>
                <w:color w:val="000000"/>
                <w:lang w:eastAsia="it-IT"/>
              </w:rPr>
              <w:t>a</w:t>
            </w:r>
            <w:r w:rsidRPr="004E3804">
              <w:rPr>
                <w:rFonts w:cs="Arial"/>
                <w:b/>
                <w:bCs/>
                <w:color w:val="000000"/>
                <w:lang w:eastAsia="it-IT"/>
              </w:rPr>
              <w:t xml:space="preserve">ppaltante </w:t>
            </w:r>
          </w:p>
          <w:p w14:paraId="51B56570" w14:textId="1F8FB4EB" w:rsidR="00BE71EE" w:rsidRPr="008D1365" w:rsidRDefault="00CD2BEA" w:rsidP="00D264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FF0000"/>
                <w:lang w:val="it-IT"/>
              </w:rPr>
            </w:pPr>
            <w:r w:rsidRPr="008D1365">
              <w:rPr>
                <w:rFonts w:cs="Arial"/>
                <w:color w:val="FF0000"/>
                <w:lang w:val="it-IT" w:eastAsia="it-IT"/>
              </w:rPr>
              <w:t>La stazione appaltante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 intende instaurare una consultazione preliminare di mercato</w:t>
            </w:r>
            <w:r w:rsidRPr="008D1365">
              <w:rPr>
                <w:rFonts w:cs="Arial"/>
                <w:b/>
                <w:color w:val="000000"/>
                <w:lang w:val="it-IT" w:eastAsia="it-IT"/>
              </w:rPr>
              <w:t xml:space="preserve"> 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con le imprese e i professionisti del settore per l’individuazione di una </w:t>
            </w:r>
            <w:r w:rsidRPr="008D1365">
              <w:rPr>
                <w:rFonts w:cs="Arial"/>
                <w:color w:val="FF0000"/>
                <w:lang w:val="it-IT" w:eastAsia="it-IT"/>
              </w:rPr>
              <w:t>soluzione tecnica</w:t>
            </w:r>
            <w:r w:rsidR="008D1365" w:rsidRPr="008D1365">
              <w:rPr>
                <w:rFonts w:cs="Arial"/>
                <w:color w:val="FF0000"/>
                <w:lang w:val="it-IT" w:eastAsia="it-IT"/>
              </w:rPr>
              <w:t xml:space="preserve"> </w:t>
            </w:r>
            <w:r w:rsidRPr="008D1365">
              <w:rPr>
                <w:rFonts w:cs="Arial"/>
                <w:color w:val="FF0000"/>
                <w:lang w:val="it-IT" w:eastAsia="it-IT"/>
              </w:rPr>
              <w:t>per la fornitura / lavoro / servizio</w:t>
            </w:r>
            <w:r w:rsidRPr="008D1365">
              <w:rPr>
                <w:rFonts w:cs="Arial"/>
                <w:color w:val="000000"/>
                <w:lang w:val="it-IT" w:eastAsia="it-IT"/>
              </w:rPr>
              <w:t>.</w:t>
            </w:r>
          </w:p>
        </w:tc>
      </w:tr>
      <w:tr w:rsidR="00CC2ED7" w:rsidRPr="008E10B1" w14:paraId="1DF915AF" w14:textId="77777777" w:rsidTr="000D772D">
        <w:tc>
          <w:tcPr>
            <w:tcW w:w="4139" w:type="dxa"/>
          </w:tcPr>
          <w:p w14:paraId="4A1C1199" w14:textId="77777777" w:rsidR="00CC2ED7" w:rsidRPr="00674773" w:rsidRDefault="00CC2ED7" w:rsidP="00CE4F27">
            <w:pPr>
              <w:pStyle w:val="DeutscherText"/>
              <w:spacing w:line="240" w:lineRule="auto"/>
              <w:ind w:right="78"/>
              <w:rPr>
                <w:noProof w:val="0"/>
                <w:color w:val="FF0000"/>
                <w:lang w:val="it-IT"/>
              </w:rPr>
            </w:pPr>
          </w:p>
        </w:tc>
        <w:tc>
          <w:tcPr>
            <w:tcW w:w="1361" w:type="dxa"/>
          </w:tcPr>
          <w:p w14:paraId="31DC079B" w14:textId="77777777" w:rsidR="00CC2ED7" w:rsidRPr="00674773" w:rsidRDefault="00CC2ED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611C83CC" w14:textId="77777777" w:rsidR="00CC2ED7" w:rsidRPr="00674773" w:rsidRDefault="00CC2ED7" w:rsidP="00CC2ED7">
            <w:pPr>
              <w:ind w:right="78"/>
              <w:jc w:val="both"/>
              <w:rPr>
                <w:rFonts w:cs="Arial"/>
                <w:noProof w:val="0"/>
                <w:color w:val="FF0000"/>
                <w:lang w:val="it-IT"/>
              </w:rPr>
            </w:pPr>
          </w:p>
        </w:tc>
      </w:tr>
      <w:tr w:rsidR="00BE71EE" w:rsidRPr="008E10B1" w14:paraId="616DEAB2" w14:textId="77777777" w:rsidTr="000D772D">
        <w:tc>
          <w:tcPr>
            <w:tcW w:w="4139" w:type="dxa"/>
          </w:tcPr>
          <w:p w14:paraId="77C1959D" w14:textId="77777777" w:rsidR="00CD2BEA" w:rsidRPr="00494B1D" w:rsidRDefault="00CD2BEA" w:rsidP="00CD2B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de-DE" w:eastAsia="it-IT"/>
              </w:rPr>
            </w:pPr>
            <w:r w:rsidRPr="00494B1D">
              <w:rPr>
                <w:rFonts w:cs="Arial"/>
                <w:b/>
                <w:bCs/>
                <w:color w:val="000000"/>
                <w:lang w:val="de-DE" w:eastAsia="it-IT"/>
              </w:rPr>
              <w:t xml:space="preserve">Gegenstand </w:t>
            </w:r>
          </w:p>
          <w:p w14:paraId="5895AD55" w14:textId="3D4FAA60" w:rsidR="00BE71EE" w:rsidRPr="00CD2BEA" w:rsidRDefault="009936EB" w:rsidP="00C52A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de-DE" w:eastAsia="it-IT"/>
              </w:rPr>
            </w:pPr>
            <w:r>
              <w:rPr>
                <w:rFonts w:cs="Arial"/>
                <w:color w:val="000000"/>
                <w:lang w:val="de-DE" w:eastAsia="it-IT"/>
              </w:rPr>
              <w:t>Hiermit</w:t>
            </w:r>
            <w:r w:rsidR="00CD2BEA" w:rsidRPr="00494B1D">
              <w:rPr>
                <w:rFonts w:cs="Arial"/>
                <w:color w:val="000000"/>
                <w:lang w:val="de-DE" w:eastAsia="it-IT"/>
              </w:rPr>
              <w:t xml:space="preserve"> lädt die </w:t>
            </w:r>
            <w:r w:rsidR="00CD2BEA" w:rsidRPr="00494B1D">
              <w:rPr>
                <w:rFonts w:cs="Arial"/>
                <w:color w:val="FF0000"/>
                <w:lang w:val="de-DE" w:eastAsia="it-IT"/>
              </w:rPr>
              <w:t>Vergabestelle</w:t>
            </w:r>
            <w:r w:rsidR="00CD2BEA" w:rsidRPr="00494B1D">
              <w:rPr>
                <w:rFonts w:cs="Arial"/>
                <w:color w:val="000000"/>
                <w:lang w:val="de-DE" w:eastAsia="it-IT"/>
              </w:rPr>
              <w:t xml:space="preserve"> gemäß Art. </w:t>
            </w:r>
            <w:r w:rsidR="00CD2BEA">
              <w:rPr>
                <w:rFonts w:cs="Arial"/>
                <w:color w:val="000000"/>
                <w:lang w:val="de-DE" w:eastAsia="it-IT"/>
              </w:rPr>
              <w:t xml:space="preserve">20 LG Nr. 16/2015 und Art. </w:t>
            </w:r>
            <w:r w:rsidR="00CD2BEA" w:rsidRPr="00494B1D">
              <w:rPr>
                <w:rFonts w:cs="Arial"/>
                <w:color w:val="000000"/>
                <w:lang w:val="de-DE" w:eastAsia="it-IT"/>
              </w:rPr>
              <w:t>40 Richtlinie 2014/24/EU alle interessierten Wirtschafts</w:t>
            </w:r>
            <w:r w:rsidR="00751E21">
              <w:rPr>
                <w:rFonts w:cs="Arial"/>
                <w:noProof w:val="0"/>
                <w:lang w:val="de-DE"/>
              </w:rPr>
              <w:softHyphen/>
            </w:r>
            <w:r w:rsidR="00CD2BEA" w:rsidRPr="00494B1D">
              <w:rPr>
                <w:rFonts w:cs="Arial"/>
                <w:color w:val="000000"/>
                <w:lang w:val="de-DE" w:eastAsia="it-IT"/>
              </w:rPr>
              <w:t xml:space="preserve">teilnehmer </w:t>
            </w:r>
            <w:r w:rsidR="00C52AB2">
              <w:rPr>
                <w:rFonts w:cs="Arial"/>
                <w:color w:val="000000"/>
                <w:lang w:val="de-DE" w:eastAsia="it-IT"/>
              </w:rPr>
              <w:t>ein, sich</w:t>
            </w:r>
            <w:r w:rsidR="00C52AB2"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C52AB2">
              <w:rPr>
                <w:rFonts w:cs="Arial"/>
                <w:color w:val="000000"/>
                <w:lang w:val="de-DE" w:eastAsia="it-IT"/>
              </w:rPr>
              <w:t>an der Marktkonsultation</w:t>
            </w:r>
            <w:r w:rsidR="00CD2BEA"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>
              <w:rPr>
                <w:rFonts w:cs="Arial"/>
                <w:color w:val="000000"/>
                <w:lang w:val="de-DE" w:eastAsia="it-IT"/>
              </w:rPr>
              <w:t xml:space="preserve">durch </w:t>
            </w:r>
            <w:r w:rsidR="00C52AB2">
              <w:rPr>
                <w:rFonts w:cs="Arial"/>
                <w:color w:val="000000"/>
                <w:lang w:val="de-DE" w:eastAsia="it-IT"/>
              </w:rPr>
              <w:t>Ausfüllen</w:t>
            </w:r>
            <w:r w:rsidR="00CD2BEA" w:rsidRPr="00494B1D">
              <w:rPr>
                <w:rFonts w:cs="Arial"/>
                <w:color w:val="000000"/>
                <w:lang w:val="de-DE" w:eastAsia="it-IT"/>
              </w:rPr>
              <w:t xml:space="preserve"> der „Interessensbekundung“</w:t>
            </w:r>
            <w:r w:rsidR="00C52AB2">
              <w:rPr>
                <w:rFonts w:cs="Arial"/>
                <w:color w:val="000000"/>
                <w:lang w:val="de-DE" w:eastAsia="it-IT"/>
              </w:rPr>
              <w:t xml:space="preserve"> zu beteiligen, durch </w:t>
            </w:r>
            <w:r w:rsidR="00CE5A9E">
              <w:rPr>
                <w:rFonts w:cs="Arial"/>
                <w:color w:val="000000"/>
                <w:lang w:val="de-DE" w:eastAsia="it-IT"/>
              </w:rPr>
              <w:t>welche</w:t>
            </w:r>
            <w:r w:rsidR="00C52AB2">
              <w:rPr>
                <w:rFonts w:cs="Arial"/>
                <w:color w:val="000000"/>
                <w:lang w:val="de-DE" w:eastAsia="it-IT"/>
              </w:rPr>
              <w:t xml:space="preserve"> ein vorheriger</w:t>
            </w:r>
            <w:r w:rsidR="00CD2BEA" w:rsidRPr="00494B1D">
              <w:rPr>
                <w:rFonts w:cs="Arial"/>
                <w:color w:val="000000"/>
                <w:lang w:val="de-DE" w:eastAsia="it-IT"/>
              </w:rPr>
              <w:t xml:space="preserve"> technische</w:t>
            </w:r>
            <w:r w:rsidR="00C52AB2">
              <w:rPr>
                <w:rFonts w:cs="Arial"/>
                <w:color w:val="000000"/>
                <w:lang w:val="de-DE" w:eastAsia="it-IT"/>
              </w:rPr>
              <w:t>r</w:t>
            </w:r>
            <w:r w:rsidR="00CD2BEA"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751E21">
              <w:rPr>
                <w:rFonts w:cs="Arial"/>
                <w:color w:val="000000"/>
                <w:lang w:val="de-DE" w:eastAsia="it-IT"/>
              </w:rPr>
              <w:t>Marktv</w:t>
            </w:r>
            <w:r w:rsidR="00CD2BEA" w:rsidRPr="00494B1D">
              <w:rPr>
                <w:rFonts w:cs="Arial"/>
                <w:color w:val="000000"/>
                <w:lang w:val="de-DE" w:eastAsia="it-IT"/>
              </w:rPr>
              <w:t>ergleich</w:t>
            </w:r>
            <w:r w:rsidR="00C52AB2">
              <w:rPr>
                <w:rFonts w:cs="Arial"/>
                <w:color w:val="000000"/>
                <w:lang w:val="de-DE" w:eastAsia="it-IT"/>
              </w:rPr>
              <w:t xml:space="preserve"> mit Bezug auf</w:t>
            </w:r>
            <w:r w:rsidR="00CD2BEA"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C52AB2">
              <w:rPr>
                <w:rFonts w:cs="Arial"/>
                <w:color w:val="FF0000"/>
                <w:lang w:val="de-DE" w:eastAsia="it-IT"/>
              </w:rPr>
              <w:t>den Bedarf</w:t>
            </w:r>
            <w:r w:rsidR="00CD2BEA" w:rsidRPr="00494B1D">
              <w:rPr>
                <w:rFonts w:cs="Arial"/>
                <w:color w:val="FF0000"/>
                <w:lang w:val="de-DE" w:eastAsia="it-IT"/>
              </w:rPr>
              <w:t xml:space="preserve">/ </w:t>
            </w:r>
            <w:r w:rsidR="00C52AB2">
              <w:rPr>
                <w:rFonts w:cs="Arial"/>
                <w:color w:val="FF0000"/>
                <w:lang w:val="de-DE" w:eastAsia="it-IT"/>
              </w:rPr>
              <w:t>die</w:t>
            </w:r>
            <w:r w:rsidR="007E019D">
              <w:rPr>
                <w:rFonts w:cs="Arial"/>
                <w:color w:val="FF0000"/>
                <w:lang w:val="de-DE" w:eastAsia="it-IT"/>
              </w:rPr>
              <w:t xml:space="preserve"> </w:t>
            </w:r>
            <w:r w:rsidR="00CD2BEA" w:rsidRPr="00494B1D">
              <w:rPr>
                <w:rFonts w:cs="Arial"/>
                <w:color w:val="FF0000"/>
                <w:lang w:val="de-DE" w:eastAsia="it-IT"/>
              </w:rPr>
              <w:t>Erstellung des technischen Leistungsverzeichnisses/</w:t>
            </w:r>
            <w:r w:rsidR="00CD2BEA">
              <w:rPr>
                <w:rFonts w:cs="Arial"/>
                <w:color w:val="FF0000"/>
                <w:lang w:val="de-DE" w:eastAsia="it-IT"/>
              </w:rPr>
              <w:t xml:space="preserve"> sonstige</w:t>
            </w:r>
            <w:r w:rsidR="00CD2BEA" w:rsidRPr="00494B1D">
              <w:rPr>
                <w:rFonts w:cs="Arial"/>
                <w:color w:val="FF0000"/>
                <w:lang w:val="de-DE" w:eastAsia="it-IT"/>
              </w:rPr>
              <w:t xml:space="preserve"> Aspekte</w:t>
            </w:r>
            <w:r w:rsidR="00CD2BEA"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C52AB2">
              <w:rPr>
                <w:rFonts w:cs="Arial"/>
                <w:color w:val="000000"/>
                <w:lang w:val="de-DE" w:eastAsia="it-IT"/>
              </w:rPr>
              <w:t>gemäß dettailierter Beschreibung in der</w:t>
            </w:r>
            <w:r w:rsidR="007E019D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7E019D" w:rsidRPr="00494B1D">
              <w:rPr>
                <w:rFonts w:cs="Arial"/>
                <w:color w:val="000000"/>
                <w:lang w:val="de-DE" w:eastAsia="it-IT"/>
              </w:rPr>
              <w:t>Anlage 1</w:t>
            </w:r>
            <w:r w:rsidR="00C52AB2">
              <w:rPr>
                <w:rFonts w:cs="Arial"/>
                <w:color w:val="000000"/>
                <w:lang w:val="de-DE" w:eastAsia="it-IT"/>
              </w:rPr>
              <w:t xml:space="preserve"> erfolgen soll</w:t>
            </w:r>
            <w:r w:rsidR="00CD2BEA" w:rsidRPr="00494B1D">
              <w:rPr>
                <w:rFonts w:cs="Arial"/>
                <w:color w:val="000000"/>
                <w:lang w:val="de-DE" w:eastAsia="it-IT"/>
              </w:rPr>
              <w:t xml:space="preserve">. </w:t>
            </w:r>
          </w:p>
        </w:tc>
        <w:tc>
          <w:tcPr>
            <w:tcW w:w="1361" w:type="dxa"/>
          </w:tcPr>
          <w:p w14:paraId="0127751E" w14:textId="77777777" w:rsidR="00BE71EE" w:rsidRPr="00275295" w:rsidRDefault="00BE71EE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61C4AE34" w14:textId="77777777" w:rsidR="00CD2BEA" w:rsidRPr="008D1365" w:rsidRDefault="00CD2BEA" w:rsidP="00CD2B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it-IT" w:eastAsia="it-IT"/>
              </w:rPr>
            </w:pPr>
            <w:r w:rsidRPr="008D1365">
              <w:rPr>
                <w:rFonts w:cs="Arial"/>
                <w:b/>
                <w:bCs/>
                <w:color w:val="000000"/>
                <w:lang w:val="it-IT" w:eastAsia="it-IT"/>
              </w:rPr>
              <w:t xml:space="preserve">Oggetto </w:t>
            </w:r>
          </w:p>
          <w:p w14:paraId="4D58C442" w14:textId="5135FF4B" w:rsidR="00BE71EE" w:rsidRPr="008D1365" w:rsidRDefault="00CD2BEA" w:rsidP="00D264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8D1365">
              <w:rPr>
                <w:rFonts w:cs="Arial"/>
                <w:color w:val="000000"/>
                <w:lang w:val="it-IT" w:eastAsia="it-IT"/>
              </w:rPr>
              <w:t xml:space="preserve">Con il presente avviso </w:t>
            </w:r>
            <w:r w:rsidRPr="008D1365">
              <w:rPr>
                <w:rFonts w:cs="Arial"/>
                <w:color w:val="FF0000"/>
                <w:lang w:val="it-IT" w:eastAsia="it-IT"/>
              </w:rPr>
              <w:t>la stazione appaltante,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 ai sensi dell’art. 20 della LP n. 16/2015 e dell’art. 40 della Direttiva 2014/24/CE, invita tutti gli operatori economici interessati a partecipare mediante la compilazione della “</w:t>
            </w:r>
            <w:r w:rsidR="00C52AB2">
              <w:rPr>
                <w:rFonts w:cs="Arial"/>
                <w:color w:val="000000"/>
                <w:lang w:val="it-IT" w:eastAsia="it-IT"/>
              </w:rPr>
              <w:t>m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anifestazione di interesse”, finalizzata ad un preliminare confronto tecnico con il mercato relativamente </w:t>
            </w:r>
            <w:r w:rsidRPr="008D1365">
              <w:rPr>
                <w:rFonts w:cs="Arial"/>
                <w:color w:val="FF0000"/>
                <w:lang w:val="it-IT" w:eastAsia="it-IT"/>
              </w:rPr>
              <w:t xml:space="preserve">ai precitati fabbisogni/ alla predisposizione del capitolato tecnico / altre eventuali 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dettagliatamente descritti nell’Allegato 1. </w:t>
            </w:r>
          </w:p>
        </w:tc>
      </w:tr>
      <w:tr w:rsidR="00CC2ED7" w:rsidRPr="008E10B1" w14:paraId="2C51E546" w14:textId="77777777" w:rsidTr="000D772D">
        <w:tc>
          <w:tcPr>
            <w:tcW w:w="4139" w:type="dxa"/>
          </w:tcPr>
          <w:p w14:paraId="50D19CE2" w14:textId="77777777" w:rsidR="00CC2ED7" w:rsidRPr="00674773" w:rsidRDefault="00CC2ED7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147C6B5D" w14:textId="77777777" w:rsidR="00CC2ED7" w:rsidRPr="00674773" w:rsidRDefault="00CC2ED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042F796C" w14:textId="77777777" w:rsidR="00CC2ED7" w:rsidRPr="00674773" w:rsidRDefault="00CC2ED7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0D772D" w:rsidRPr="008E10B1" w14:paraId="4E67EA12" w14:textId="77777777" w:rsidTr="000D772D">
        <w:tc>
          <w:tcPr>
            <w:tcW w:w="4139" w:type="dxa"/>
          </w:tcPr>
          <w:p w14:paraId="5CD57B61" w14:textId="3E7CEE25" w:rsidR="000D772D" w:rsidRPr="00CD2BEA" w:rsidRDefault="00CD2BEA" w:rsidP="00CD2B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de-DE" w:eastAsia="it-IT"/>
              </w:rPr>
            </w:pPr>
            <w:r w:rsidRPr="00494B1D">
              <w:rPr>
                <w:rFonts w:cs="Arial"/>
                <w:color w:val="000000"/>
                <w:lang w:val="de-DE" w:eastAsia="it-IT"/>
              </w:rPr>
              <w:t xml:space="preserve">Die vorherige Marktkonsultation </w:t>
            </w:r>
            <w:r w:rsidR="00FD1AEF">
              <w:rPr>
                <w:rFonts w:cs="Arial"/>
                <w:color w:val="000000"/>
                <w:lang w:val="de-DE" w:eastAsia="it-IT"/>
              </w:rPr>
              <w:t>leitet die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>
              <w:rPr>
                <w:rFonts w:cs="Arial"/>
                <w:color w:val="000000"/>
                <w:lang w:val="de-DE" w:eastAsia="it-IT"/>
              </w:rPr>
              <w:t>Vorbereitungsp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hase der Ausschreibung </w:t>
            </w:r>
            <w:r w:rsidR="00FD1AEF">
              <w:rPr>
                <w:rFonts w:cs="Arial"/>
                <w:color w:val="000000"/>
                <w:lang w:val="de-DE" w:eastAsia="it-IT"/>
              </w:rPr>
              <w:t xml:space="preserve">ein </w:t>
            </w:r>
            <w:r w:rsidRPr="00494B1D">
              <w:rPr>
                <w:rFonts w:cs="Arial"/>
                <w:color w:val="000000"/>
                <w:lang w:val="de-DE" w:eastAsia="it-IT"/>
              </w:rPr>
              <w:t>und ermöglicht es, dem Markt spezifische technische Fragestellungen in Verbindung mit der Planung und Vorbereitung der Auftragsvergabe zu unterbreiten (technologische Innovationen, Vergabearten, angewandte Methoden), sodass alle interessierten Subjekte innovative</w:t>
            </w:r>
            <w:r w:rsidR="00CE5A9E">
              <w:rPr>
                <w:rFonts w:cs="Arial"/>
                <w:color w:val="000000"/>
                <w:lang w:val="de-DE" w:eastAsia="it-IT"/>
              </w:rPr>
              <w:t>, auch technologisch alternative L</w:t>
            </w:r>
            <w:r w:rsidRPr="00494B1D">
              <w:rPr>
                <w:rFonts w:cs="Arial"/>
                <w:color w:val="000000"/>
                <w:lang w:val="de-DE" w:eastAsia="it-IT"/>
              </w:rPr>
              <w:t>ösungen vor</w:t>
            </w:r>
            <w:r w:rsidR="00CE5A9E">
              <w:rPr>
                <w:rFonts w:cs="Arial"/>
                <w:color w:val="000000"/>
                <w:lang w:val="de-DE" w:eastAsia="it-IT"/>
              </w:rPr>
              <w:t>sch</w:t>
            </w:r>
            <w:r w:rsidRPr="00494B1D">
              <w:rPr>
                <w:rFonts w:cs="Arial"/>
                <w:color w:val="000000"/>
                <w:lang w:val="de-DE" w:eastAsia="it-IT"/>
              </w:rPr>
              <w:t>lagen</w:t>
            </w:r>
            <w:r w:rsidR="00093593">
              <w:rPr>
                <w:rFonts w:cs="Arial"/>
                <w:color w:val="000000"/>
                <w:lang w:val="de-DE" w:eastAsia="it-IT"/>
              </w:rPr>
              <w:t xml:space="preserve"> können</w:t>
            </w:r>
            <w:r w:rsidRPr="00494B1D">
              <w:rPr>
                <w:rFonts w:cs="Arial"/>
                <w:color w:val="000000"/>
                <w:lang w:val="de-DE" w:eastAsia="it-IT"/>
              </w:rPr>
              <w:t>, um den Bedürfnissen der Vergabestelle gerecht zu werden. D</w:t>
            </w:r>
            <w:r w:rsidR="00CE5A9E">
              <w:rPr>
                <w:rFonts w:cs="Arial"/>
                <w:color w:val="000000"/>
                <w:lang w:val="de-DE" w:eastAsia="it-IT"/>
              </w:rPr>
              <w:t>urch d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ie </w:t>
            </w:r>
            <w:r w:rsidR="00CE5A9E">
              <w:rPr>
                <w:rFonts w:cs="Arial"/>
                <w:color w:val="000000"/>
                <w:lang w:val="de-DE" w:eastAsia="it-IT"/>
              </w:rPr>
              <w:t>vorherige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Marktkonsultation </w:t>
            </w:r>
            <w:r w:rsidR="00CE5A9E">
              <w:rPr>
                <w:rFonts w:cs="Arial"/>
                <w:color w:val="000000"/>
                <w:lang w:val="de-DE" w:eastAsia="it-IT"/>
              </w:rPr>
              <w:t>sollen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Erfahrungen verg</w:t>
            </w:r>
            <w:r w:rsidR="00CE5A9E">
              <w:rPr>
                <w:rFonts w:cs="Arial"/>
                <w:color w:val="000000"/>
                <w:lang w:val="de-DE" w:eastAsia="it-IT"/>
              </w:rPr>
              <w:t>l</w:t>
            </w:r>
            <w:r w:rsidRPr="00494B1D">
              <w:rPr>
                <w:rFonts w:cs="Arial"/>
                <w:color w:val="000000"/>
                <w:lang w:val="de-DE" w:eastAsia="it-IT"/>
              </w:rPr>
              <w:t>ichen und technische Kenntnisse erw</w:t>
            </w:r>
            <w:r w:rsidR="00CE5A9E">
              <w:rPr>
                <w:rFonts w:cs="Arial"/>
                <w:color w:val="000000"/>
                <w:lang w:val="de-DE" w:eastAsia="it-IT"/>
              </w:rPr>
              <w:t>o</w:t>
            </w:r>
            <w:r w:rsidRPr="00494B1D">
              <w:rPr>
                <w:rFonts w:cs="Arial"/>
                <w:color w:val="000000"/>
                <w:lang w:val="de-DE" w:eastAsia="it-IT"/>
              </w:rPr>
              <w:t>rben</w:t>
            </w:r>
            <w:r w:rsidR="00CE5A9E">
              <w:rPr>
                <w:rFonts w:cs="Arial"/>
                <w:color w:val="000000"/>
                <w:lang w:val="de-DE" w:eastAsia="it-IT"/>
              </w:rPr>
              <w:t xml:space="preserve"> werden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, </w:t>
            </w:r>
            <w:r w:rsidR="00A967FB">
              <w:rPr>
                <w:rFonts w:cs="Arial"/>
                <w:color w:val="000000"/>
                <w:lang w:val="de-DE" w:eastAsia="it-IT"/>
              </w:rPr>
              <w:t>mit dem Ziel, die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CE5A9E">
              <w:rPr>
                <w:rFonts w:cs="Arial"/>
                <w:color w:val="000000"/>
                <w:lang w:val="de-DE" w:eastAsia="it-IT"/>
              </w:rPr>
              <w:t>Ausschreibungs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unterlagen </w:t>
            </w:r>
            <w:r w:rsidR="00A967FB">
              <w:rPr>
                <w:rFonts w:cs="Arial"/>
                <w:color w:val="000000"/>
                <w:lang w:val="de-DE" w:eastAsia="it-IT"/>
              </w:rPr>
              <w:t>zu optimieren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und die Bedürfnisse der Vergabestelle auf das Marktangebot abzustimmen. </w:t>
            </w:r>
          </w:p>
        </w:tc>
        <w:tc>
          <w:tcPr>
            <w:tcW w:w="1361" w:type="dxa"/>
          </w:tcPr>
          <w:p w14:paraId="04EB26FC" w14:textId="77777777" w:rsidR="000D772D" w:rsidRPr="008D1365" w:rsidRDefault="000D772D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4C4356DB" w14:textId="5C67BFA2" w:rsidR="000D772D" w:rsidRPr="008D1365" w:rsidRDefault="00CD2BEA" w:rsidP="00CD2B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it-IT" w:eastAsia="it-IT"/>
              </w:rPr>
            </w:pPr>
            <w:r w:rsidRPr="008D1365">
              <w:rPr>
                <w:rFonts w:cs="Arial"/>
                <w:color w:val="000000"/>
                <w:lang w:val="it-IT" w:eastAsia="it-IT"/>
              </w:rPr>
              <w:t xml:space="preserve">La </w:t>
            </w:r>
            <w:r w:rsidR="00A26D2D">
              <w:rPr>
                <w:rFonts w:cs="Arial"/>
                <w:color w:val="000000"/>
                <w:lang w:val="it-IT" w:eastAsia="it-IT"/>
              </w:rPr>
              <w:t>c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onsultazione preliminare di mercato, volta ad instaurare una fase preparatoria della gara d’appalto, consente di sottoporre al mercato specifici quesiti di natura tecnica inerenti la pianificazione e preparazione dell’appalto (innovazioni tecnologiche, tipologie di appalto, metodologie adottate) in modo da permettere a tutti i soggetti interessati di proporre soluzioni innovative, anche tecnologicamente alternative, per rispondere alle necessità della </w:t>
            </w:r>
            <w:r w:rsidR="00A26D2D">
              <w:rPr>
                <w:rFonts w:cs="Arial"/>
                <w:color w:val="000000"/>
                <w:lang w:val="it-IT" w:eastAsia="it-IT"/>
              </w:rPr>
              <w:t>s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tazione </w:t>
            </w:r>
            <w:r w:rsidR="00A26D2D">
              <w:rPr>
                <w:rFonts w:cs="Arial"/>
                <w:color w:val="000000"/>
                <w:lang w:val="it-IT" w:eastAsia="it-IT"/>
              </w:rPr>
              <w:t>a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ppaltante. La </w:t>
            </w:r>
            <w:r w:rsidR="00A26D2D">
              <w:rPr>
                <w:rFonts w:cs="Arial"/>
                <w:color w:val="000000"/>
                <w:lang w:val="it-IT" w:eastAsia="it-IT"/>
              </w:rPr>
              <w:t>c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onsultazione preliminare di mercato è propedeutica quindi a confrontare esperienze ed acquisire conoscenze tecniche, al fine di una migliore predisposizione degli atti di gara, conciliando le esigenze della </w:t>
            </w:r>
            <w:r w:rsidR="00A26D2D">
              <w:rPr>
                <w:rFonts w:cs="Arial"/>
                <w:color w:val="000000"/>
                <w:lang w:val="it-IT" w:eastAsia="it-IT"/>
              </w:rPr>
              <w:t>s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tazione </w:t>
            </w:r>
            <w:r w:rsidR="00A26D2D">
              <w:rPr>
                <w:rFonts w:cs="Arial"/>
                <w:color w:val="000000"/>
                <w:lang w:val="it-IT" w:eastAsia="it-IT"/>
              </w:rPr>
              <w:t>a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ppaltante con l’offerta del mercato. </w:t>
            </w:r>
          </w:p>
        </w:tc>
      </w:tr>
      <w:tr w:rsidR="000D772D" w:rsidRPr="008E10B1" w14:paraId="1D79774B" w14:textId="77777777" w:rsidTr="000D772D">
        <w:tc>
          <w:tcPr>
            <w:tcW w:w="4139" w:type="dxa"/>
          </w:tcPr>
          <w:p w14:paraId="038B9E91" w14:textId="77777777" w:rsidR="000D772D" w:rsidRPr="00674773" w:rsidRDefault="000D772D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1E4ED4FA" w14:textId="77777777" w:rsidR="000D772D" w:rsidRPr="00674773" w:rsidRDefault="000D772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514D4C6B" w14:textId="77777777" w:rsidR="000D772D" w:rsidRPr="00674773" w:rsidRDefault="000D772D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CD2BEA" w:rsidRPr="008E10B1" w14:paraId="440CB1C1" w14:textId="77777777" w:rsidTr="000D772D">
        <w:tc>
          <w:tcPr>
            <w:tcW w:w="4139" w:type="dxa"/>
          </w:tcPr>
          <w:p w14:paraId="57E24A97" w14:textId="6F5FABD2" w:rsidR="00CD2BEA" w:rsidRPr="008D1365" w:rsidRDefault="00CD2BEA" w:rsidP="00275295">
            <w:pPr>
              <w:pStyle w:val="DeutscherText"/>
              <w:spacing w:line="240" w:lineRule="auto"/>
              <w:ind w:right="78"/>
              <w:rPr>
                <w:noProof w:val="0"/>
                <w:lang w:val="de-DE"/>
              </w:rPr>
            </w:pPr>
            <w:r w:rsidRPr="00494B1D">
              <w:rPr>
                <w:rFonts w:cs="Arial"/>
                <w:b/>
                <w:color w:val="000000"/>
                <w:lang w:val="de-DE" w:eastAsia="it-IT"/>
              </w:rPr>
              <w:t xml:space="preserve">Der technische Vergleich </w:t>
            </w:r>
            <w:r w:rsidR="00A967FB">
              <w:rPr>
                <w:rFonts w:cs="Arial"/>
                <w:b/>
                <w:color w:val="000000"/>
                <w:lang w:val="de-DE" w:eastAsia="it-IT"/>
              </w:rPr>
              <w:t>dient</w:t>
            </w:r>
            <w:r w:rsidRPr="00494B1D">
              <w:rPr>
                <w:rFonts w:cs="Arial"/>
                <w:b/>
                <w:color w:val="000000"/>
                <w:lang w:val="de-DE" w:eastAsia="it-IT"/>
              </w:rPr>
              <w:t xml:space="preserve"> nicht </w:t>
            </w:r>
            <w:r w:rsidR="00A967FB">
              <w:rPr>
                <w:rFonts w:cs="Arial"/>
                <w:b/>
                <w:color w:val="000000"/>
                <w:lang w:val="de-DE" w:eastAsia="it-IT"/>
              </w:rPr>
              <w:t>dem</w:t>
            </w:r>
            <w:r w:rsidRPr="00494B1D">
              <w:rPr>
                <w:rFonts w:cs="Arial"/>
                <w:b/>
                <w:color w:val="000000"/>
                <w:lang w:val="de-DE" w:eastAsia="it-IT"/>
              </w:rPr>
              <w:t xml:space="preserve"> Zuschlag eines Vertrags.</w:t>
            </w:r>
          </w:p>
        </w:tc>
        <w:tc>
          <w:tcPr>
            <w:tcW w:w="1361" w:type="dxa"/>
          </w:tcPr>
          <w:p w14:paraId="1F547499" w14:textId="77777777" w:rsidR="00CD2BEA" w:rsidRPr="008D1365" w:rsidRDefault="00CD2BEA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0609E116" w14:textId="7410DCCB" w:rsidR="00CD2BEA" w:rsidRPr="00674773" w:rsidRDefault="00CD2BEA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8D1365">
              <w:rPr>
                <w:rFonts w:cs="Arial"/>
                <w:b/>
                <w:color w:val="000000"/>
                <w:lang w:val="it-IT" w:eastAsia="it-IT"/>
              </w:rPr>
              <w:t>Il confronto tecnico non è finalizzato all'aggiudicazione di alcun contratto.</w:t>
            </w:r>
            <w:r w:rsidR="008D1365">
              <w:rPr>
                <w:rFonts w:cs="Arial"/>
                <w:b/>
                <w:color w:val="000000"/>
                <w:lang w:val="it-IT" w:eastAsia="it-IT"/>
              </w:rPr>
              <w:t xml:space="preserve"> </w:t>
            </w:r>
          </w:p>
        </w:tc>
      </w:tr>
      <w:tr w:rsidR="00CD2BEA" w:rsidRPr="008E10B1" w14:paraId="25B626E7" w14:textId="77777777" w:rsidTr="000D772D">
        <w:tc>
          <w:tcPr>
            <w:tcW w:w="4139" w:type="dxa"/>
          </w:tcPr>
          <w:p w14:paraId="360C0BC3" w14:textId="77777777" w:rsidR="00CD2BEA" w:rsidRPr="00674773" w:rsidRDefault="00CD2BEA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072BF8BB" w14:textId="77777777" w:rsidR="00CD2BEA" w:rsidRPr="00674773" w:rsidRDefault="00CD2BEA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3CF1DCF3" w14:textId="77777777" w:rsidR="00CD2BEA" w:rsidRPr="00674773" w:rsidRDefault="00CD2BEA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CD2BEA" w:rsidRPr="008E10B1" w14:paraId="7A7F9C86" w14:textId="77777777" w:rsidTr="000D772D">
        <w:tc>
          <w:tcPr>
            <w:tcW w:w="4139" w:type="dxa"/>
          </w:tcPr>
          <w:p w14:paraId="57FF307A" w14:textId="77777777" w:rsidR="00CD2BEA" w:rsidRPr="00494B1D" w:rsidRDefault="00CD2BEA" w:rsidP="00CD2BEA">
            <w:pPr>
              <w:numPr>
                <w:ilvl w:val="0"/>
                <w:numId w:val="5"/>
              </w:numPr>
              <w:spacing w:line="240" w:lineRule="exact"/>
              <w:ind w:left="0" w:firstLine="0"/>
              <w:contextualSpacing/>
              <w:jc w:val="both"/>
              <w:rPr>
                <w:rFonts w:cs="Arial"/>
                <w:b/>
                <w:color w:val="000000"/>
                <w:lang w:val="de-DE" w:eastAsia="it-IT"/>
              </w:rPr>
            </w:pPr>
            <w:r w:rsidRPr="00494B1D">
              <w:rPr>
                <w:rFonts w:cs="Arial"/>
                <w:b/>
                <w:color w:val="000000"/>
                <w:lang w:val="de-DE" w:eastAsia="it-IT"/>
              </w:rPr>
              <w:t>Teilnahmevoraussetzungen</w:t>
            </w:r>
          </w:p>
          <w:p w14:paraId="73F399E0" w14:textId="2B499480" w:rsidR="00CD2BEA" w:rsidRPr="00CD2BEA" w:rsidRDefault="00CD2BEA" w:rsidP="00CD2B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de-DE" w:eastAsia="it-IT"/>
              </w:rPr>
            </w:pPr>
            <w:r w:rsidRPr="00494B1D">
              <w:rPr>
                <w:rFonts w:cs="Arial"/>
                <w:color w:val="000000"/>
                <w:lang w:val="de-DE" w:eastAsia="it-IT"/>
              </w:rPr>
              <w:lastRenderedPageBreak/>
              <w:t>Teilnahmeberechtigt sind alle Personen, Einzelunternehmen oder Bietergemein</w:t>
            </w:r>
            <w:r w:rsidR="007D53EF">
              <w:rPr>
                <w:rFonts w:cs="Arial"/>
                <w:color w:val="000000"/>
                <w:lang w:val="de-DE" w:eastAsia="it-IT"/>
              </w:rPr>
              <w:t>-</w:t>
            </w:r>
            <w:r w:rsidRPr="00494B1D">
              <w:rPr>
                <w:rFonts w:cs="Arial"/>
                <w:color w:val="000000"/>
                <w:lang w:val="de-DE" w:eastAsia="it-IT"/>
              </w:rPr>
              <w:t>schaften, Forschungseinrichtungen (Univer</w:t>
            </w:r>
            <w:r w:rsidR="007D53EF">
              <w:rPr>
                <w:rFonts w:cs="Arial"/>
                <w:color w:val="000000"/>
                <w:lang w:val="de-DE" w:eastAsia="it-IT"/>
              </w:rPr>
              <w:t>-</w:t>
            </w:r>
            <w:r w:rsidRPr="00494B1D">
              <w:rPr>
                <w:rFonts w:cs="Arial"/>
                <w:color w:val="000000"/>
                <w:lang w:val="de-DE" w:eastAsia="it-IT"/>
              </w:rPr>
              <w:t>sitäten, Forschu</w:t>
            </w:r>
            <w:r>
              <w:rPr>
                <w:rFonts w:cs="Arial"/>
                <w:color w:val="000000"/>
                <w:lang w:val="de-DE" w:eastAsia="it-IT"/>
              </w:rPr>
              <w:t>ngszentren usw.), Freiberufller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A967FB" w:rsidRPr="00A967FB">
              <w:rPr>
                <w:rFonts w:cs="Arial"/>
                <w:color w:val="000000"/>
                <w:lang w:val="de-DE" w:eastAsia="it-IT"/>
              </w:rPr>
              <w:t>und jedenfalls</w:t>
            </w:r>
            <w:r w:rsidR="002A6754" w:rsidRPr="00A967FB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CD55FC" w:rsidRPr="00A967FB">
              <w:rPr>
                <w:rFonts w:cs="Arial"/>
                <w:color w:val="000000"/>
                <w:lang w:val="de-DE" w:eastAsia="it-IT"/>
              </w:rPr>
              <w:t>Experten</w:t>
            </w:r>
            <w:r w:rsidR="00A90429" w:rsidRPr="00A967FB">
              <w:rPr>
                <w:rFonts w:cs="Arial"/>
                <w:color w:val="000000"/>
                <w:lang w:val="de-DE" w:eastAsia="it-IT"/>
              </w:rPr>
              <w:t>,</w:t>
            </w:r>
            <w:r w:rsidR="00A90429" w:rsidRPr="00764C00">
              <w:rPr>
                <w:rFonts w:cs="Arial"/>
                <w:color w:val="000000"/>
                <w:lang w:val="de-DE" w:eastAsia="it-IT"/>
              </w:rPr>
              <w:t xml:space="preserve"> Marktteilnehmer</w:t>
            </w:r>
            <w:r w:rsidR="00A95215">
              <w:rPr>
                <w:rFonts w:cs="Arial"/>
                <w:color w:val="000000"/>
                <w:lang w:val="de-DE" w:eastAsia="it-IT"/>
              </w:rPr>
              <w:t>,</w:t>
            </w:r>
            <w:r w:rsidR="002F78DB">
              <w:rPr>
                <w:rFonts w:cs="Arial"/>
                <w:color w:val="000000"/>
                <w:lang w:val="de-DE" w:eastAsia="it-IT"/>
              </w:rPr>
              <w:t xml:space="preserve"> </w:t>
            </w:r>
            <w:bookmarkStart w:id="2" w:name="_Hlk8648991"/>
            <w:r w:rsidR="002F78DB">
              <w:rPr>
                <w:rFonts w:cs="Arial"/>
                <w:color w:val="000000"/>
                <w:lang w:val="de-DE" w:eastAsia="it-IT"/>
              </w:rPr>
              <w:t>einschließlich Träger kollektiver und über</w:t>
            </w:r>
            <w:r w:rsidR="00093593">
              <w:rPr>
                <w:rFonts w:cs="Arial"/>
                <w:color w:val="000000"/>
                <w:lang w:val="de-DE" w:eastAsia="it-IT"/>
              </w:rPr>
              <w:t>-</w:t>
            </w:r>
            <w:r w:rsidR="002F78DB">
              <w:rPr>
                <w:rFonts w:cs="Arial"/>
                <w:color w:val="000000"/>
                <w:lang w:val="de-DE" w:eastAsia="it-IT"/>
              </w:rPr>
              <w:t>individueller Interessen</w:t>
            </w:r>
            <w:r w:rsidR="00A95215">
              <w:rPr>
                <w:rFonts w:cs="Arial"/>
                <w:color w:val="000000"/>
                <w:lang w:val="de-DE" w:eastAsia="it-IT"/>
              </w:rPr>
              <w:t>,</w:t>
            </w:r>
            <w:r w:rsidR="002F78DB">
              <w:rPr>
                <w:rFonts w:cs="Arial"/>
                <w:color w:val="000000"/>
                <w:lang w:val="de-DE" w:eastAsia="it-IT"/>
              </w:rPr>
              <w:t xml:space="preserve"> </w:t>
            </w:r>
            <w:bookmarkEnd w:id="2"/>
            <w:r w:rsidR="002F78DB">
              <w:rPr>
                <w:rFonts w:cs="Arial"/>
                <w:color w:val="000000"/>
                <w:lang w:val="de-DE" w:eastAsia="it-IT"/>
              </w:rPr>
              <w:t>sowie</w:t>
            </w:r>
            <w:r w:rsidR="00A90429" w:rsidRPr="00764C00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9D54EF">
              <w:rPr>
                <w:rFonts w:cs="Arial"/>
                <w:color w:val="000000"/>
                <w:lang w:val="de-DE" w:eastAsia="it-IT"/>
              </w:rPr>
              <w:t xml:space="preserve">unabhängige </w:t>
            </w:r>
            <w:r w:rsidR="00A90429" w:rsidRPr="00764C00">
              <w:rPr>
                <w:rFonts w:cs="Arial"/>
                <w:color w:val="000000"/>
                <w:lang w:val="de-DE" w:eastAsia="it-IT"/>
              </w:rPr>
              <w:t>Behörden</w:t>
            </w:r>
            <w:r w:rsidR="00764C00" w:rsidRPr="00764C00">
              <w:rPr>
                <w:rFonts w:cs="Arial"/>
                <w:color w:val="000000"/>
                <w:lang w:val="de-DE" w:eastAsia="it-IT"/>
              </w:rPr>
              <w:t>,</w:t>
            </w:r>
            <w:r w:rsidR="00A90429" w:rsidRPr="00764C00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9D54EF">
              <w:rPr>
                <w:rFonts w:cs="Arial"/>
                <w:color w:val="000000"/>
                <w:lang w:val="de-DE" w:eastAsia="it-IT"/>
              </w:rPr>
              <w:t>die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ihr</w:t>
            </w:r>
            <w:r w:rsidR="00A95215">
              <w:rPr>
                <w:rFonts w:cs="Arial"/>
                <w:color w:val="000000"/>
                <w:lang w:val="de-DE" w:eastAsia="it-IT"/>
              </w:rPr>
              <w:t>e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Interesse</w:t>
            </w:r>
            <w:r w:rsidR="00A95215">
              <w:rPr>
                <w:rFonts w:cs="Arial"/>
                <w:color w:val="000000"/>
                <w:lang w:val="de-DE" w:eastAsia="it-IT"/>
              </w:rPr>
              <w:t>nsbekundung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093593">
              <w:rPr>
                <w:rFonts w:cs="Arial"/>
                <w:color w:val="000000"/>
                <w:lang w:val="de-DE" w:eastAsia="it-IT"/>
              </w:rPr>
              <w:t>innerhalb folgender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Fris</w:t>
            </w:r>
            <w:r w:rsidR="004428C0">
              <w:rPr>
                <w:rFonts w:cs="Arial"/>
                <w:color w:val="000000"/>
                <w:lang w:val="de-DE" w:eastAsia="it-IT"/>
              </w:rPr>
              <w:t>ten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und </w:t>
            </w:r>
            <w:r w:rsidR="00093593">
              <w:rPr>
                <w:rFonts w:cs="Arial"/>
                <w:color w:val="000000"/>
                <w:lang w:val="de-DE" w:eastAsia="it-IT"/>
              </w:rPr>
              <w:t xml:space="preserve">gemäß folgenden </w:t>
            </w:r>
            <w:r w:rsidR="004428C0">
              <w:rPr>
                <w:rFonts w:cs="Arial"/>
                <w:color w:val="000000"/>
                <w:lang w:val="de-DE" w:eastAsia="it-IT"/>
              </w:rPr>
              <w:t>Modalitäten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A95215">
              <w:rPr>
                <w:rFonts w:cs="Arial"/>
                <w:color w:val="000000"/>
                <w:lang w:val="de-DE" w:eastAsia="it-IT"/>
              </w:rPr>
              <w:t>eingereicht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haben</w:t>
            </w:r>
            <w:r w:rsidR="00093593">
              <w:rPr>
                <w:rFonts w:cs="Arial"/>
                <w:color w:val="000000"/>
                <w:lang w:val="de-DE" w:eastAsia="it-IT"/>
              </w:rPr>
              <w:t>:</w:t>
            </w:r>
          </w:p>
        </w:tc>
        <w:tc>
          <w:tcPr>
            <w:tcW w:w="1361" w:type="dxa"/>
          </w:tcPr>
          <w:p w14:paraId="6363133E" w14:textId="77777777" w:rsidR="00CD2BEA" w:rsidRPr="008D1365" w:rsidRDefault="00CD2BEA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6AE62EE0" w14:textId="77777777" w:rsidR="00CD2BEA" w:rsidRPr="004E3804" w:rsidRDefault="00CD2BEA" w:rsidP="00CD2BEA">
            <w:pPr>
              <w:numPr>
                <w:ilvl w:val="0"/>
                <w:numId w:val="6"/>
              </w:numPr>
              <w:spacing w:line="240" w:lineRule="exact"/>
              <w:ind w:left="0" w:firstLine="0"/>
              <w:contextualSpacing/>
              <w:jc w:val="both"/>
              <w:rPr>
                <w:rFonts w:cs="Arial"/>
                <w:b/>
                <w:color w:val="000000"/>
                <w:lang w:eastAsia="it-IT"/>
              </w:rPr>
            </w:pPr>
            <w:r w:rsidRPr="004E3804">
              <w:rPr>
                <w:rFonts w:cs="Arial"/>
                <w:b/>
                <w:color w:val="000000"/>
                <w:lang w:eastAsia="it-IT"/>
              </w:rPr>
              <w:t>Requisiti per la partecipazione</w:t>
            </w:r>
          </w:p>
          <w:p w14:paraId="1BA14329" w14:textId="5080E333" w:rsidR="00CD2BEA" w:rsidRPr="008D1365" w:rsidRDefault="00CD2BEA" w:rsidP="00CD2B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it-IT" w:eastAsia="it-IT"/>
              </w:rPr>
            </w:pPr>
            <w:bookmarkStart w:id="3" w:name="_Hlk6501178"/>
            <w:r w:rsidRPr="008D1365">
              <w:rPr>
                <w:rFonts w:cs="Arial"/>
                <w:color w:val="000000"/>
                <w:lang w:val="it-IT" w:eastAsia="it-IT"/>
              </w:rPr>
              <w:lastRenderedPageBreak/>
              <w:t xml:space="preserve">Possono partecipare tutti i soggetti, imprese singole o raggruppate in associazioni temporanee, organismi di ricerca (università, centri di ricerca, ecc.), liberi professionisti e comunque </w:t>
            </w:r>
            <w:r w:rsidR="00A90429" w:rsidRPr="00CD55FC">
              <w:rPr>
                <w:rFonts w:cs="Arial"/>
                <w:color w:val="000000"/>
                <w:lang w:val="it-IT" w:eastAsia="it-IT"/>
              </w:rPr>
              <w:t>esperti, partecipanti al mercato</w:t>
            </w:r>
            <w:r w:rsidR="006F70B4" w:rsidRPr="00CD55FC">
              <w:rPr>
                <w:rFonts w:cs="Arial"/>
                <w:color w:val="000000"/>
                <w:lang w:val="it-IT" w:eastAsia="it-IT"/>
              </w:rPr>
              <w:t xml:space="preserve"> inclusi i portatori di interessi collettivi e diffusi</w:t>
            </w:r>
            <w:r w:rsidR="00300DA6" w:rsidRPr="00CD55FC">
              <w:rPr>
                <w:rFonts w:cs="Arial"/>
                <w:color w:val="000000"/>
                <w:lang w:val="it-IT" w:eastAsia="it-IT"/>
              </w:rPr>
              <w:t>,</w:t>
            </w:r>
            <w:r w:rsidR="00A90429" w:rsidRPr="00CD55FC">
              <w:rPr>
                <w:rFonts w:cs="Arial"/>
                <w:color w:val="000000"/>
                <w:lang w:val="it-IT" w:eastAsia="it-IT"/>
              </w:rPr>
              <w:t xml:space="preserve"> ed autorità indipendenti</w:t>
            </w:r>
            <w:r w:rsidRPr="00CD55FC">
              <w:rPr>
                <w:rFonts w:cs="Arial"/>
                <w:color w:val="000000"/>
                <w:lang w:val="it-IT" w:eastAsia="it-IT"/>
              </w:rPr>
              <w:t>, che abbiamo presentato manifestazione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 di interesse nei tempi e con le modalità di seguito descritte</w:t>
            </w:r>
            <w:bookmarkEnd w:id="3"/>
            <w:r w:rsidRPr="008D1365">
              <w:rPr>
                <w:rFonts w:cs="Arial"/>
                <w:color w:val="000000"/>
                <w:lang w:val="it-IT" w:eastAsia="it-IT"/>
              </w:rPr>
              <w:t>.</w:t>
            </w:r>
          </w:p>
          <w:p w14:paraId="149A3212" w14:textId="77777777" w:rsidR="00CD2BEA" w:rsidRPr="00674773" w:rsidRDefault="00CD2BEA" w:rsidP="00CD2BEA">
            <w:pPr>
              <w:widowControl w:val="0"/>
              <w:tabs>
                <w:tab w:val="left" w:pos="1350"/>
              </w:tabs>
              <w:spacing w:line="240" w:lineRule="exact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CD2BEA" w:rsidRPr="008E10B1" w14:paraId="191D667B" w14:textId="77777777" w:rsidTr="000D772D">
        <w:tc>
          <w:tcPr>
            <w:tcW w:w="4139" w:type="dxa"/>
          </w:tcPr>
          <w:p w14:paraId="0CA4C588" w14:textId="77777777" w:rsidR="00CD2BEA" w:rsidRPr="00674773" w:rsidRDefault="00CD2BEA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283AA7D5" w14:textId="77777777" w:rsidR="00CD2BEA" w:rsidRPr="00674773" w:rsidRDefault="00CD2BEA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6D455D69" w14:textId="77777777" w:rsidR="00CD2BEA" w:rsidRPr="00674773" w:rsidRDefault="00CD2BEA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CD2BEA" w:rsidRPr="008E10B1" w14:paraId="0BD57D96" w14:textId="77777777" w:rsidTr="000D772D">
        <w:tc>
          <w:tcPr>
            <w:tcW w:w="4139" w:type="dxa"/>
          </w:tcPr>
          <w:p w14:paraId="17F12E5D" w14:textId="3E103500" w:rsidR="00CD2BEA" w:rsidRPr="00682D0E" w:rsidRDefault="00CD2BEA" w:rsidP="00294F2A">
            <w:pPr>
              <w:numPr>
                <w:ilvl w:val="0"/>
                <w:numId w:val="5"/>
              </w:numPr>
              <w:spacing w:line="240" w:lineRule="exact"/>
              <w:ind w:left="426" w:hanging="426"/>
              <w:contextualSpacing/>
              <w:rPr>
                <w:rFonts w:cs="Arial"/>
                <w:color w:val="000000"/>
                <w:lang w:val="de-DE" w:eastAsia="it-IT"/>
              </w:rPr>
            </w:pPr>
            <w:r w:rsidRPr="00682D0E">
              <w:rPr>
                <w:rFonts w:cs="Arial"/>
                <w:b/>
                <w:color w:val="000000"/>
                <w:lang w:val="de-DE" w:eastAsia="it-IT"/>
              </w:rPr>
              <w:t xml:space="preserve">Anweisungen zur </w:t>
            </w:r>
            <w:r w:rsidR="004428C0">
              <w:rPr>
                <w:rFonts w:cs="Arial"/>
                <w:b/>
                <w:color w:val="000000"/>
                <w:lang w:val="de-DE" w:eastAsia="it-IT"/>
              </w:rPr>
              <w:t>Einreichung</w:t>
            </w:r>
            <w:r w:rsidRPr="00682D0E">
              <w:rPr>
                <w:rFonts w:cs="Arial"/>
                <w:b/>
                <w:color w:val="000000"/>
                <w:lang w:val="de-DE" w:eastAsia="it-IT"/>
              </w:rPr>
              <w:t xml:space="preserve"> des Vorschlags:</w:t>
            </w:r>
          </w:p>
          <w:p w14:paraId="1A8C69AC" w14:textId="4CA94719" w:rsidR="00CD2BEA" w:rsidRPr="00494B1D" w:rsidRDefault="00CD2BEA" w:rsidP="00CD2BEA">
            <w:pPr>
              <w:numPr>
                <w:ilvl w:val="0"/>
                <w:numId w:val="7"/>
              </w:numPr>
              <w:spacing w:line="240" w:lineRule="exact"/>
              <w:contextualSpacing/>
              <w:rPr>
                <w:rFonts w:cs="Arial"/>
                <w:b/>
                <w:color w:val="FF0000"/>
                <w:lang w:val="de-DE" w:eastAsia="it-IT"/>
              </w:rPr>
            </w:pPr>
            <w:r w:rsidRPr="00682D0E">
              <w:rPr>
                <w:rFonts w:cs="Arial"/>
                <w:color w:val="000000"/>
                <w:lang w:val="de-DE" w:eastAsia="it-IT"/>
              </w:rPr>
              <w:t>Frist für die Einreichung der Interessensbekundung und des konkreten Vorschla</w:t>
            </w:r>
            <w:r w:rsidRPr="00264ECE">
              <w:rPr>
                <w:rFonts w:cs="Arial"/>
                <w:color w:val="000000"/>
                <w:lang w:val="de-DE" w:eastAsia="it-IT"/>
              </w:rPr>
              <w:t>gs</w:t>
            </w:r>
            <w:r w:rsidRPr="00494B1D">
              <w:rPr>
                <w:rFonts w:cs="Arial"/>
                <w:color w:val="FF0000"/>
                <w:lang w:val="de-DE" w:eastAsia="it-IT"/>
              </w:rPr>
              <w:t xml:space="preserve"> </w:t>
            </w:r>
            <w:r w:rsidR="00093593">
              <w:rPr>
                <w:rFonts w:cs="Arial"/>
                <w:color w:val="FF0000"/>
                <w:lang w:val="de-DE" w:eastAsia="it-IT"/>
              </w:rPr>
              <w:t>gemäß</w:t>
            </w:r>
            <w:r w:rsidRPr="00494B1D">
              <w:rPr>
                <w:rFonts w:cs="Arial"/>
                <w:color w:val="FF0000"/>
                <w:lang w:val="de-DE" w:eastAsia="it-IT"/>
              </w:rPr>
              <w:t xml:space="preserve"> Anlage 1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: </w:t>
            </w:r>
            <w:r w:rsidRPr="00CF2D84">
              <w:rPr>
                <w:rFonts w:cs="Arial"/>
                <w:b/>
                <w:i/>
                <w:color w:val="FF0000"/>
                <w:lang w:val="de-DE" w:eastAsia="it-IT"/>
              </w:rPr>
              <w:t>Datum und Uhrzeit.</w:t>
            </w:r>
          </w:p>
          <w:p w14:paraId="0A26AF8A" w14:textId="6037A15B" w:rsidR="00CD2BEA" w:rsidRPr="008D1365" w:rsidRDefault="00CD2BEA" w:rsidP="00D26482">
            <w:pPr>
              <w:numPr>
                <w:ilvl w:val="0"/>
                <w:numId w:val="7"/>
              </w:numPr>
              <w:spacing w:line="240" w:lineRule="exact"/>
              <w:contextualSpacing/>
              <w:rPr>
                <w:noProof w:val="0"/>
                <w:lang w:val="de-DE"/>
              </w:rPr>
            </w:pPr>
            <w:r>
              <w:rPr>
                <w:rFonts w:cs="Arial"/>
                <w:color w:val="FF0000"/>
                <w:lang w:val="de-DE" w:eastAsia="it-IT"/>
              </w:rPr>
              <w:t xml:space="preserve">Evenutelle </w:t>
            </w:r>
            <w:r w:rsidRPr="00494B1D">
              <w:rPr>
                <w:rFonts w:cs="Arial"/>
                <w:color w:val="FF0000"/>
                <w:lang w:val="de-DE" w:eastAsia="it-IT"/>
              </w:rPr>
              <w:t xml:space="preserve">individuelle Ortsbesichtigungen: 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Pr="00CF2D84">
              <w:rPr>
                <w:rFonts w:cs="Arial"/>
                <w:b/>
                <w:i/>
                <w:color w:val="FF0000"/>
                <w:lang w:val="de-DE" w:eastAsia="it-IT"/>
              </w:rPr>
              <w:t>Frist, Tage, Uhrzeit.</w:t>
            </w:r>
          </w:p>
        </w:tc>
        <w:tc>
          <w:tcPr>
            <w:tcW w:w="1361" w:type="dxa"/>
          </w:tcPr>
          <w:p w14:paraId="0928EE51" w14:textId="77777777" w:rsidR="00CD2BEA" w:rsidRPr="008D1365" w:rsidRDefault="00CD2BEA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024B6136" w14:textId="77777777" w:rsidR="00CD2BEA" w:rsidRPr="008D1365" w:rsidRDefault="00CD2BEA" w:rsidP="00CD591A">
            <w:pPr>
              <w:numPr>
                <w:ilvl w:val="0"/>
                <w:numId w:val="9"/>
              </w:numPr>
              <w:spacing w:line="240" w:lineRule="exact"/>
              <w:contextualSpacing/>
              <w:rPr>
                <w:rFonts w:cs="Arial"/>
                <w:color w:val="000000"/>
                <w:lang w:val="it-IT" w:eastAsia="it-IT"/>
              </w:rPr>
            </w:pPr>
            <w:r w:rsidRPr="008D1365">
              <w:rPr>
                <w:rFonts w:cs="Arial"/>
                <w:b/>
                <w:color w:val="000000"/>
                <w:lang w:val="it-IT" w:eastAsia="it-IT"/>
              </w:rPr>
              <w:t>Istruzioni per la presentazione della proposta:</w:t>
            </w:r>
          </w:p>
          <w:p w14:paraId="20DD088B" w14:textId="77777777" w:rsidR="00CD2BEA" w:rsidRPr="008D1365" w:rsidRDefault="00CD2BEA" w:rsidP="00CD591A">
            <w:pPr>
              <w:numPr>
                <w:ilvl w:val="0"/>
                <w:numId w:val="8"/>
              </w:numPr>
              <w:spacing w:line="240" w:lineRule="exact"/>
              <w:contextualSpacing/>
              <w:rPr>
                <w:rFonts w:cs="Arial"/>
                <w:b/>
                <w:color w:val="FF0000"/>
                <w:lang w:val="it-IT" w:eastAsia="it-IT"/>
              </w:rPr>
            </w:pPr>
            <w:r w:rsidRPr="008D1365">
              <w:rPr>
                <w:rFonts w:cs="Arial"/>
                <w:color w:val="000000"/>
                <w:lang w:val="it-IT" w:eastAsia="it-IT"/>
              </w:rPr>
              <w:t xml:space="preserve">Termine per la presentazione della </w:t>
            </w:r>
            <w:r w:rsidRPr="008D1365">
              <w:rPr>
                <w:rFonts w:cs="Arial"/>
                <w:lang w:val="it-IT" w:eastAsia="it-IT"/>
              </w:rPr>
              <w:t xml:space="preserve">manifestazione di interesse e della proposta concreta </w:t>
            </w:r>
            <w:r w:rsidRPr="008D1365">
              <w:rPr>
                <w:rFonts w:cs="Arial"/>
                <w:color w:val="FF0000"/>
                <w:lang w:val="it-IT" w:eastAsia="it-IT"/>
              </w:rPr>
              <w:t>come da allegato 1</w:t>
            </w:r>
            <w:r w:rsidRPr="008D1365">
              <w:rPr>
                <w:rFonts w:cs="Arial"/>
                <w:lang w:val="it-IT" w:eastAsia="it-IT"/>
              </w:rPr>
              <w:t>: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 </w:t>
            </w:r>
            <w:r w:rsidRPr="008D1365">
              <w:rPr>
                <w:rFonts w:cs="Arial"/>
                <w:b/>
                <w:i/>
                <w:color w:val="FF0000"/>
                <w:lang w:val="it-IT" w:eastAsia="it-IT"/>
              </w:rPr>
              <w:t>data e ora</w:t>
            </w:r>
            <w:r w:rsidRPr="008D1365">
              <w:rPr>
                <w:rFonts w:cs="Arial"/>
                <w:b/>
                <w:color w:val="FF0000"/>
                <w:lang w:val="it-IT" w:eastAsia="it-IT"/>
              </w:rPr>
              <w:t>.</w:t>
            </w:r>
          </w:p>
          <w:p w14:paraId="69E83210" w14:textId="23D93E4C" w:rsidR="00CD2BEA" w:rsidRPr="00674773" w:rsidRDefault="00CD2BEA" w:rsidP="00D26482">
            <w:pPr>
              <w:numPr>
                <w:ilvl w:val="0"/>
                <w:numId w:val="8"/>
              </w:numPr>
              <w:spacing w:line="240" w:lineRule="exact"/>
              <w:contextualSpacing/>
              <w:rPr>
                <w:rFonts w:cs="Arial"/>
                <w:noProof w:val="0"/>
                <w:lang w:val="it-IT"/>
              </w:rPr>
            </w:pPr>
            <w:r w:rsidRPr="008D1365">
              <w:rPr>
                <w:rFonts w:cs="Arial"/>
                <w:color w:val="FF0000"/>
                <w:lang w:val="it-IT" w:eastAsia="it-IT"/>
              </w:rPr>
              <w:t>Eventuali sopralluoghi individuali: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 </w:t>
            </w:r>
            <w:r w:rsidRPr="008D1365">
              <w:rPr>
                <w:rFonts w:cs="Arial"/>
                <w:b/>
                <w:i/>
                <w:color w:val="FF0000"/>
                <w:lang w:val="it-IT" w:eastAsia="it-IT"/>
              </w:rPr>
              <w:t>termine, giornate e orari.</w:t>
            </w:r>
          </w:p>
        </w:tc>
      </w:tr>
      <w:tr w:rsidR="00CD2BEA" w:rsidRPr="008E10B1" w14:paraId="3A918931" w14:textId="77777777" w:rsidTr="000D772D">
        <w:tc>
          <w:tcPr>
            <w:tcW w:w="4139" w:type="dxa"/>
          </w:tcPr>
          <w:p w14:paraId="183F9AF1" w14:textId="77777777" w:rsidR="00CD2BEA" w:rsidRPr="00674773" w:rsidRDefault="00CD2BEA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5B27D2E9" w14:textId="77777777" w:rsidR="00CD2BEA" w:rsidRPr="00674773" w:rsidRDefault="00CD2BEA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21D319CD" w14:textId="77777777" w:rsidR="00CD2BEA" w:rsidRPr="00674773" w:rsidRDefault="00CD2BEA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CD2BEA" w:rsidRPr="008E10B1" w14:paraId="3A87E340" w14:textId="77777777" w:rsidTr="000D772D">
        <w:tc>
          <w:tcPr>
            <w:tcW w:w="4139" w:type="dxa"/>
          </w:tcPr>
          <w:p w14:paraId="7C48EDB8" w14:textId="0F798D96" w:rsidR="00CD591A" w:rsidRPr="00494B1D" w:rsidRDefault="00CD591A" w:rsidP="00294F2A">
            <w:pPr>
              <w:numPr>
                <w:ilvl w:val="0"/>
                <w:numId w:val="5"/>
              </w:numPr>
              <w:spacing w:line="240" w:lineRule="exact"/>
              <w:ind w:left="426" w:hanging="426"/>
              <w:contextualSpacing/>
              <w:jc w:val="both"/>
              <w:rPr>
                <w:rFonts w:cs="Arial"/>
                <w:color w:val="000000"/>
                <w:lang w:val="de-DE" w:eastAsia="it-IT"/>
              </w:rPr>
            </w:pPr>
            <w:r w:rsidRPr="00494B1D">
              <w:rPr>
                <w:rFonts w:cs="Arial"/>
                <w:b/>
                <w:color w:val="000000"/>
                <w:lang w:val="de-DE" w:eastAsia="it-IT"/>
              </w:rPr>
              <w:t xml:space="preserve">Mitteilungen, Informationen und Erklärungen </w:t>
            </w:r>
            <w:r w:rsidR="002F78DB">
              <w:rPr>
                <w:rFonts w:cs="Arial"/>
                <w:b/>
                <w:color w:val="000000"/>
                <w:lang w:val="de-DE" w:eastAsia="it-IT"/>
              </w:rPr>
              <w:t>zur</w:t>
            </w:r>
            <w:r w:rsidRPr="00494B1D">
              <w:rPr>
                <w:rFonts w:cs="Arial"/>
                <w:b/>
                <w:color w:val="000000"/>
                <w:lang w:val="de-DE" w:eastAsia="it-IT"/>
              </w:rPr>
              <w:t xml:space="preserve"> vorherigen Marktkonsultationen</w:t>
            </w:r>
          </w:p>
          <w:p w14:paraId="14D4B2A5" w14:textId="274A6979" w:rsidR="00CD591A" w:rsidRPr="00494B1D" w:rsidRDefault="005D6349" w:rsidP="00CD591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Etwaige</w:t>
            </w:r>
            <w:r w:rsidR="00CD59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D591A" w:rsidRPr="00494B1D">
              <w:rPr>
                <w:rFonts w:ascii="Arial" w:hAnsi="Arial" w:cs="Arial"/>
                <w:sz w:val="20"/>
                <w:szCs w:val="20"/>
                <w:lang w:val="de-DE"/>
              </w:rPr>
              <w:t>Informationen</w:t>
            </w:r>
            <w:r w:rsidR="00CD591A">
              <w:rPr>
                <w:rFonts w:ascii="Arial" w:hAnsi="Arial" w:cs="Arial"/>
                <w:sz w:val="20"/>
                <w:szCs w:val="20"/>
                <w:lang w:val="de-DE"/>
              </w:rPr>
              <w:t xml:space="preserve"> und Erklärungen kann der Teilnehmer</w:t>
            </w:r>
            <w:r w:rsidR="00CD591A" w:rsidRPr="00494B1D">
              <w:rPr>
                <w:rFonts w:ascii="Arial" w:hAnsi="Arial" w:cs="Arial"/>
                <w:sz w:val="20"/>
                <w:szCs w:val="20"/>
                <w:lang w:val="de-DE"/>
              </w:rPr>
              <w:t xml:space="preserve"> von der </w:t>
            </w:r>
            <w:r w:rsidR="00CD591A">
              <w:rPr>
                <w:rFonts w:ascii="Arial" w:hAnsi="Arial" w:cs="Arial"/>
                <w:sz w:val="20"/>
                <w:szCs w:val="20"/>
                <w:lang w:val="de-DE"/>
              </w:rPr>
              <w:t>Vergabestelle ausschließlich mittels</w:t>
            </w:r>
            <w:r w:rsidR="00CD591A" w:rsidRPr="00494B1D">
              <w:rPr>
                <w:rFonts w:ascii="Arial" w:hAnsi="Arial" w:cs="Arial"/>
                <w:sz w:val="20"/>
                <w:szCs w:val="20"/>
                <w:lang w:val="de-DE"/>
              </w:rPr>
              <w:t xml:space="preserve"> E-Mail </w:t>
            </w:r>
            <w:r w:rsidR="00CD591A">
              <w:rPr>
                <w:rFonts w:ascii="Arial" w:hAnsi="Arial" w:cs="Arial"/>
                <w:sz w:val="20"/>
                <w:szCs w:val="20"/>
                <w:lang w:val="de-DE"/>
              </w:rPr>
              <w:t>unter folgender</w:t>
            </w:r>
            <w:r w:rsidR="00CD591A" w:rsidRPr="00494B1D">
              <w:rPr>
                <w:rFonts w:ascii="Arial" w:hAnsi="Arial" w:cs="Arial"/>
                <w:sz w:val="20"/>
                <w:szCs w:val="20"/>
                <w:lang w:val="de-DE"/>
              </w:rPr>
              <w:t xml:space="preserve"> Adresse ...........</w:t>
            </w:r>
            <w:r w:rsidR="00892076">
              <w:rPr>
                <w:rFonts w:ascii="Arial" w:hAnsi="Arial" w:cs="Arial"/>
                <w:sz w:val="20"/>
                <w:szCs w:val="20"/>
                <w:lang w:val="de-DE"/>
              </w:rPr>
              <w:t>.............</w:t>
            </w:r>
            <w:r w:rsidR="00CD591A" w:rsidRPr="00494B1D">
              <w:rPr>
                <w:rFonts w:ascii="Arial" w:hAnsi="Arial" w:cs="Arial"/>
                <w:sz w:val="20"/>
                <w:szCs w:val="20"/>
                <w:lang w:val="de-DE"/>
              </w:rPr>
              <w:t>................ anfordern.</w:t>
            </w:r>
          </w:p>
          <w:p w14:paraId="3ED60EBA" w14:textId="77777777" w:rsidR="00CD2BEA" w:rsidRPr="008D1365" w:rsidRDefault="00CD2BEA" w:rsidP="00275295">
            <w:pPr>
              <w:pStyle w:val="DeutscherText"/>
              <w:spacing w:line="240" w:lineRule="auto"/>
              <w:ind w:right="78"/>
              <w:rPr>
                <w:noProof w:val="0"/>
                <w:lang w:val="de-DE"/>
              </w:rPr>
            </w:pPr>
          </w:p>
        </w:tc>
        <w:tc>
          <w:tcPr>
            <w:tcW w:w="1361" w:type="dxa"/>
          </w:tcPr>
          <w:p w14:paraId="34FFC48C" w14:textId="77777777" w:rsidR="00CD2BEA" w:rsidRPr="008D1365" w:rsidRDefault="00CD2BEA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5323F391" w14:textId="77777777" w:rsidR="00CD591A" w:rsidRPr="008D1365" w:rsidRDefault="00CD591A" w:rsidP="00892076">
            <w:pPr>
              <w:numPr>
                <w:ilvl w:val="0"/>
                <w:numId w:val="10"/>
              </w:numPr>
              <w:spacing w:line="240" w:lineRule="exact"/>
              <w:contextualSpacing/>
              <w:jc w:val="both"/>
              <w:rPr>
                <w:rFonts w:cs="Arial"/>
                <w:color w:val="000000"/>
                <w:lang w:val="it-IT" w:eastAsia="it-IT"/>
              </w:rPr>
            </w:pPr>
            <w:r w:rsidRPr="008D1365">
              <w:rPr>
                <w:rFonts w:cs="Arial"/>
                <w:b/>
                <w:color w:val="000000"/>
                <w:lang w:val="it-IT" w:eastAsia="it-IT"/>
              </w:rPr>
              <w:t>Comunicazioni, informazioni e chiarimenti relativi alle consultazioni preliminari di mercato</w:t>
            </w:r>
          </w:p>
          <w:p w14:paraId="2543F12C" w14:textId="77777777" w:rsidR="00CD2BEA" w:rsidRPr="00CD591A" w:rsidRDefault="00CD591A" w:rsidP="00CD591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3EF7">
              <w:rPr>
                <w:rFonts w:ascii="Arial" w:hAnsi="Arial" w:cs="Arial"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sz w:val="20"/>
                <w:szCs w:val="20"/>
              </w:rPr>
              <w:t>uali informazioni e chiarimenti</w:t>
            </w:r>
            <w:r w:rsidRPr="00733EF7">
              <w:rPr>
                <w:rFonts w:ascii="Arial" w:hAnsi="Arial" w:cs="Arial"/>
                <w:sz w:val="20"/>
                <w:szCs w:val="20"/>
              </w:rPr>
              <w:t xml:space="preserve"> potranno essere richiesti alla stazione appaltante dal </w:t>
            </w:r>
            <w:r>
              <w:rPr>
                <w:rFonts w:ascii="Arial" w:hAnsi="Arial" w:cs="Arial"/>
                <w:sz w:val="20"/>
                <w:szCs w:val="20"/>
              </w:rPr>
              <w:t>partecipante</w:t>
            </w:r>
            <w:r w:rsidRPr="00733EF7">
              <w:rPr>
                <w:rFonts w:ascii="Arial" w:hAnsi="Arial" w:cs="Arial"/>
                <w:sz w:val="20"/>
                <w:szCs w:val="20"/>
              </w:rPr>
              <w:t xml:space="preserve"> esclusivamente attraverso </w:t>
            </w:r>
            <w:r>
              <w:rPr>
                <w:rFonts w:ascii="Arial" w:hAnsi="Arial" w:cs="Arial"/>
                <w:sz w:val="20"/>
                <w:szCs w:val="20"/>
              </w:rPr>
              <w:t>la trasmissione via mail all’indirizzo di posta elettronica………</w:t>
            </w:r>
            <w:r w:rsidR="00892076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  <w:tr w:rsidR="00CD2BEA" w:rsidRPr="008E10B1" w14:paraId="258CA62C" w14:textId="77777777" w:rsidTr="000D772D">
        <w:tc>
          <w:tcPr>
            <w:tcW w:w="4139" w:type="dxa"/>
          </w:tcPr>
          <w:p w14:paraId="0A25E5EB" w14:textId="77777777" w:rsidR="00CD2BEA" w:rsidRPr="00674773" w:rsidRDefault="00CD2BEA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6AF22FC7" w14:textId="77777777" w:rsidR="00CD2BEA" w:rsidRPr="00674773" w:rsidRDefault="00CD2BEA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681FC31A" w14:textId="77777777" w:rsidR="00CD2BEA" w:rsidRPr="00674773" w:rsidRDefault="00CD2BEA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CD2BEA" w:rsidRPr="008E10B1" w14:paraId="27821038" w14:textId="77777777" w:rsidTr="000D772D">
        <w:tc>
          <w:tcPr>
            <w:tcW w:w="4139" w:type="dxa"/>
          </w:tcPr>
          <w:p w14:paraId="1FCFA4C7" w14:textId="00770DD4" w:rsidR="00892076" w:rsidRPr="00337B8A" w:rsidRDefault="00892076" w:rsidP="00294F2A">
            <w:pPr>
              <w:pStyle w:val="Default"/>
              <w:numPr>
                <w:ilvl w:val="0"/>
                <w:numId w:val="5"/>
              </w:numPr>
              <w:spacing w:line="240" w:lineRule="exact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494B1D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Ablauf der vorherigen Marktkonsultation</w:t>
            </w:r>
            <w:r w:rsidRPr="00494B1D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</w:t>
            </w:r>
            <w:r w:rsidRPr="00337B8A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– </w:t>
            </w:r>
            <w:r w:rsidR="007E6052" w:rsidRPr="00337B8A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wenn die </w:t>
            </w:r>
            <w:r w:rsidRPr="00337B8A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Übermittlung per </w:t>
            </w:r>
            <w:r w:rsidR="007E6052" w:rsidRPr="00337B8A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E-Mail erfolgt</w:t>
            </w:r>
          </w:p>
          <w:p w14:paraId="56468FE4" w14:textId="71A9BC1A" w:rsidR="005D6349" w:rsidRDefault="00892076" w:rsidP="00892076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Das interessierte Subjekt muss die </w:t>
            </w:r>
            <w:r w:rsidR="007E6052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in den Anlagen</w:t>
            </w: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="007E6052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dieser Bekanntmachung</w:t>
            </w:r>
            <w:r w:rsidRPr="00494B1D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vorgeschriebenen Unterlagen </w:t>
            </w:r>
            <w:r w:rsidRPr="00494B1D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bis zum </w:t>
            </w:r>
            <w:r w:rsidR="00292A6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de-DE"/>
              </w:rPr>
              <w:t>(T</w:t>
            </w:r>
            <w:r w:rsidRPr="00CF2D84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de-DE"/>
              </w:rPr>
              <w:t>ag und genaue Uhrzeit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CF2D84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de-DE"/>
              </w:rPr>
              <w:t>angebe</w:t>
            </w:r>
            <w:r w:rsidR="00292A6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de-DE"/>
              </w:rPr>
              <w:t>n)</w:t>
            </w:r>
            <w:r w:rsidRPr="00CF2D84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494B1D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an die E-Mail-Adresse ........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...............</w:t>
            </w:r>
            <w:r w:rsidRPr="00494B1D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.........................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............ übermitteln und </w:t>
            </w:r>
            <w:r w:rsidR="005D6349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dabei im Betreff </w:t>
            </w:r>
            <w:r w:rsidR="007E605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Folgendes angeben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:</w:t>
            </w:r>
          </w:p>
          <w:p w14:paraId="6CB29E03" w14:textId="15196679" w:rsidR="00892076" w:rsidRPr="0086056E" w:rsidRDefault="00892076" w:rsidP="00892076">
            <w:pPr>
              <w:pStyle w:val="Default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6056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den </w:t>
            </w:r>
            <w:r w:rsidR="005D6349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Gegenstand</w:t>
            </w:r>
            <w:r w:rsidRPr="0086056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der Marktkonsultation gemäß </w:t>
            </w:r>
            <w:r w:rsidR="005D6349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obigen </w:t>
            </w:r>
            <w:r w:rsidRPr="0086056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Angaben und </w:t>
            </w:r>
            <w:r w:rsidR="005D6349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den Wortlaut </w:t>
            </w:r>
            <w:r w:rsidRPr="0086056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„VORHERIGE MARKTKONSULTATION – </w:t>
            </w:r>
            <w:r w:rsidRPr="0086056E">
              <w:rPr>
                <w:rFonts w:ascii="Arial" w:hAnsi="Arial" w:cs="Arial"/>
                <w:i/>
                <w:color w:val="FF0000"/>
                <w:sz w:val="20"/>
                <w:szCs w:val="20"/>
                <w:lang w:val="de-DE"/>
              </w:rPr>
              <w:t xml:space="preserve">Name der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de-DE"/>
              </w:rPr>
              <w:t>Marktk</w:t>
            </w:r>
            <w:r w:rsidRPr="0086056E">
              <w:rPr>
                <w:rFonts w:ascii="Arial" w:hAnsi="Arial" w:cs="Arial"/>
                <w:i/>
                <w:color w:val="FF0000"/>
                <w:sz w:val="20"/>
                <w:szCs w:val="20"/>
                <w:lang w:val="de-DE"/>
              </w:rPr>
              <w:t>onsultation</w:t>
            </w:r>
            <w:r w:rsidRPr="0086056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“</w:t>
            </w:r>
            <w:r w:rsidR="00093593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,</w:t>
            </w:r>
          </w:p>
          <w:p w14:paraId="1B64B986" w14:textId="0A7CE203" w:rsidR="00892076" w:rsidRDefault="00892076" w:rsidP="00892076">
            <w:pPr>
              <w:pStyle w:val="Default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Firmenbezeichnung</w:t>
            </w:r>
            <w:proofErr w:type="spellEnd"/>
            <w:r w:rsidR="00093593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3DC805FE" w14:textId="217A26DD" w:rsidR="00892076" w:rsidRDefault="00892076" w:rsidP="00892076">
            <w:pPr>
              <w:pStyle w:val="Default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den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Rechtssitz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des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C4CEF">
              <w:rPr>
                <w:rFonts w:ascii="Arial" w:hAnsi="Arial" w:cs="Arial"/>
                <w:color w:val="auto"/>
                <w:sz w:val="20"/>
                <w:szCs w:val="20"/>
              </w:rPr>
              <w:t>Versenders</w:t>
            </w:r>
            <w:proofErr w:type="spellEnd"/>
            <w:r w:rsidR="0009359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FB88CCF" w14:textId="75FEC2AE" w:rsidR="005D6349" w:rsidRDefault="005D6349" w:rsidP="005D6349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97F731D" w14:textId="77777777" w:rsidR="005D6349" w:rsidRPr="005D6349" w:rsidRDefault="005D6349" w:rsidP="005D6349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D9AA5FC" w14:textId="2603A569" w:rsidR="00CD2BEA" w:rsidRPr="00294F2A" w:rsidRDefault="00892076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494B1D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Alle Dateien,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für welche die digitale Unterschrift</w:t>
            </w:r>
            <w:r w:rsidRPr="00494B1D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="005D6349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vorgesehen</w:t>
            </w:r>
            <w:r w:rsidRPr="00494B1D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ist, müssen digital </w:t>
            </w:r>
            <w:r w:rsidR="005D6349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signiert sein</w:t>
            </w:r>
            <w:r w:rsidRPr="00494B1D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. D</w:t>
            </w:r>
            <w:r w:rsidR="005D6349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urch d</w:t>
            </w:r>
            <w:r w:rsidRPr="00494B1D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ie digitale </w:t>
            </w:r>
            <w:r w:rsidR="005D6349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Unterschrift</w:t>
            </w:r>
            <w:r w:rsidRPr="00494B1D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="005D6349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kann</w:t>
            </w:r>
            <w:r w:rsidRPr="00494B1D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dasselbe Dokument auch von mehreren Personen unterzeichnet werden. </w:t>
            </w:r>
          </w:p>
        </w:tc>
        <w:tc>
          <w:tcPr>
            <w:tcW w:w="1361" w:type="dxa"/>
          </w:tcPr>
          <w:p w14:paraId="70DE94AD" w14:textId="77777777" w:rsidR="00CD2BEA" w:rsidRPr="008D1365" w:rsidRDefault="00CD2BEA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25FAB2C6" w14:textId="3EB34E0A" w:rsidR="00892076" w:rsidRDefault="00A26D2D" w:rsidP="00294F2A">
            <w:pPr>
              <w:pStyle w:val="Default"/>
              <w:numPr>
                <w:ilvl w:val="0"/>
                <w:numId w:val="14"/>
              </w:numPr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4FD7">
              <w:rPr>
                <w:rFonts w:ascii="Arial" w:hAnsi="Arial" w:cs="Arial"/>
                <w:b/>
                <w:color w:val="auto"/>
                <w:sz w:val="20"/>
                <w:szCs w:val="20"/>
              </w:rPr>
              <w:t>Modalità</w:t>
            </w:r>
            <w:r w:rsidR="00892076" w:rsidRPr="00214FD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di svolgimento dell</w:t>
            </w:r>
            <w:r w:rsidR="008920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</w:t>
            </w:r>
            <w:r w:rsidR="008920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onsultazione preliminare di </w:t>
            </w:r>
            <w:r w:rsidR="00892076" w:rsidRPr="00214FD7">
              <w:rPr>
                <w:rFonts w:ascii="Arial" w:hAnsi="Arial" w:cs="Arial"/>
                <w:b/>
                <w:color w:val="auto"/>
                <w:sz w:val="20"/>
                <w:szCs w:val="20"/>
              </w:rPr>
              <w:t>m</w:t>
            </w:r>
            <w:r w:rsidR="00892076"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  <w:r w:rsidR="00892076" w:rsidRPr="00214FD7">
              <w:rPr>
                <w:rFonts w:ascii="Arial" w:hAnsi="Arial" w:cs="Arial"/>
                <w:b/>
                <w:color w:val="auto"/>
                <w:sz w:val="20"/>
                <w:szCs w:val="20"/>
              </w:rPr>
              <w:t>rcato</w:t>
            </w:r>
            <w:r w:rsidR="008920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–</w:t>
            </w:r>
            <w:r w:rsidR="00892076">
              <w:rPr>
                <w:rFonts w:ascii="Arial" w:hAnsi="Arial" w:cs="Arial"/>
                <w:b/>
                <w:color w:val="FF0000"/>
                <w:sz w:val="20"/>
                <w:szCs w:val="20"/>
              </w:rPr>
              <w:t>trasmissione via mail</w:t>
            </w:r>
          </w:p>
          <w:p w14:paraId="1DA92E93" w14:textId="77777777" w:rsidR="00892076" w:rsidRDefault="00892076" w:rsidP="00892076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Il soggetto interessato 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 xml:space="preserve">dovrà far pervenire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>a documentazione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prescritta negli allegati al presente invito</w:t>
            </w:r>
            <w:r w:rsidRPr="005E14F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entro il termine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del </w:t>
            </w:r>
            <w:r w:rsidRPr="00324E9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indicare giorno e ora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inviando la documentazione richiesta al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 xml:space="preserve"> seguente indirizzo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di posta elettronica ………………………………………..</w:t>
            </w:r>
            <w:r w:rsidRPr="00214FD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indicando in oggetto:</w:t>
            </w:r>
          </w:p>
          <w:p w14:paraId="7E6C6C4E" w14:textId="55F69713" w:rsidR="00892076" w:rsidRDefault="00892076" w:rsidP="00892076">
            <w:pPr>
              <w:pStyle w:val="Default"/>
              <w:numPr>
                <w:ilvl w:val="0"/>
                <w:numId w:val="12"/>
              </w:numPr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l’oggetto della </w:t>
            </w:r>
            <w:r w:rsidR="00315EB8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onsultazione preliminare di mercato come indicato in epigrafe e la 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>seguente dicitura: “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CONSULTAZIONE PRELIMINARE DI MERCATO – </w:t>
            </w:r>
            <w:r w:rsidRPr="00174CC0">
              <w:rPr>
                <w:rFonts w:ascii="Arial" w:hAnsi="Arial" w:cs="Arial"/>
                <w:i/>
                <w:color w:val="FF0000"/>
                <w:sz w:val="20"/>
                <w:szCs w:val="20"/>
              </w:rPr>
              <w:t>nome della consultazione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</w:p>
          <w:p w14:paraId="2083E14D" w14:textId="77777777" w:rsidR="00892076" w:rsidRDefault="00892076" w:rsidP="00892076">
            <w:pPr>
              <w:pStyle w:val="Default"/>
              <w:numPr>
                <w:ilvl w:val="0"/>
                <w:numId w:val="12"/>
              </w:numPr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>la denominazione so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ciale</w:t>
            </w:r>
          </w:p>
          <w:p w14:paraId="7E670F46" w14:textId="77777777" w:rsidR="00892076" w:rsidRDefault="00892076" w:rsidP="00892076">
            <w:pPr>
              <w:pStyle w:val="Default"/>
              <w:numPr>
                <w:ilvl w:val="0"/>
                <w:numId w:val="12"/>
              </w:numPr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 xml:space="preserve">la sede legale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del soggetto mittente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2C1FB7F" w14:textId="77777777" w:rsidR="00892076" w:rsidRDefault="00892076" w:rsidP="00892076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6DA15C5" w14:textId="77777777" w:rsidR="00CD2BEA" w:rsidRPr="00892076" w:rsidRDefault="00892076" w:rsidP="00892076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0592">
              <w:rPr>
                <w:rFonts w:ascii="Arial" w:hAnsi="Arial" w:cs="Arial"/>
                <w:color w:val="auto"/>
                <w:sz w:val="20"/>
                <w:szCs w:val="20"/>
              </w:rPr>
              <w:t>Tutti i file per i quali è richiesta la firma digitale dev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ono essere firmati digitalmente.</w:t>
            </w:r>
            <w:r w:rsidRPr="005C0592">
              <w:rPr>
                <w:rFonts w:ascii="Arial" w:hAnsi="Arial" w:cs="Arial"/>
                <w:color w:val="auto"/>
                <w:sz w:val="20"/>
                <w:szCs w:val="20"/>
              </w:rPr>
              <w:t xml:space="preserve"> La firma digitale prevede la possibilità che lo stesso documento 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ossa</w:t>
            </w:r>
            <w:r w:rsidRPr="005C0592">
              <w:rPr>
                <w:rFonts w:ascii="Arial" w:hAnsi="Arial" w:cs="Arial"/>
                <w:color w:val="auto"/>
                <w:sz w:val="20"/>
                <w:szCs w:val="20"/>
              </w:rPr>
              <w:t xml:space="preserve"> essere firmato anche da più persone. </w:t>
            </w:r>
          </w:p>
        </w:tc>
      </w:tr>
      <w:tr w:rsidR="00CD2BEA" w:rsidRPr="008E10B1" w14:paraId="2DCA9EDE" w14:textId="77777777" w:rsidTr="000D772D">
        <w:tc>
          <w:tcPr>
            <w:tcW w:w="4139" w:type="dxa"/>
          </w:tcPr>
          <w:p w14:paraId="43B4EC51" w14:textId="77777777" w:rsidR="00CD2BEA" w:rsidRPr="00337B8A" w:rsidRDefault="00CD2BEA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0EDAAD34" w14:textId="77777777" w:rsidR="00CD2BEA" w:rsidRPr="00674773" w:rsidRDefault="00CD2BEA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76336C32" w14:textId="77777777" w:rsidR="00CD2BEA" w:rsidRPr="00674773" w:rsidRDefault="00CD2BEA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CD2BEA" w:rsidRPr="008E10B1" w14:paraId="4099ED2D" w14:textId="77777777" w:rsidTr="000D772D">
        <w:tc>
          <w:tcPr>
            <w:tcW w:w="4139" w:type="dxa"/>
          </w:tcPr>
          <w:p w14:paraId="513D8948" w14:textId="6631BEB4" w:rsidR="00294F2A" w:rsidRPr="00337B8A" w:rsidRDefault="00294F2A" w:rsidP="00294F2A">
            <w:pPr>
              <w:pStyle w:val="Default"/>
              <w:numPr>
                <w:ilvl w:val="0"/>
                <w:numId w:val="5"/>
              </w:numPr>
              <w:spacing w:line="240" w:lineRule="atLeas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 w:rsidRPr="00337B8A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lastRenderedPageBreak/>
              <w:t>Ablauf der vorherigen Marktkon</w:t>
            </w:r>
            <w:r w:rsidR="00EC4CEF" w:rsidRPr="00337B8A">
              <w:rPr>
                <w:rFonts w:ascii="Arial" w:hAnsi="Arial" w:cs="Arial"/>
                <w:bCs/>
                <w:szCs w:val="16"/>
                <w:lang w:val="de-DE"/>
              </w:rPr>
              <w:softHyphen/>
            </w:r>
            <w:r w:rsidRPr="00337B8A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sultation – </w:t>
            </w:r>
            <w:r w:rsidR="007E6052" w:rsidRPr="00337B8A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wenn die Übermittlung</w:t>
            </w:r>
            <w:r w:rsidRPr="00337B8A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in Papierform</w:t>
            </w:r>
            <w:r w:rsidR="007E6052" w:rsidRPr="00337B8A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erfolgt</w:t>
            </w:r>
          </w:p>
          <w:p w14:paraId="40C878CE" w14:textId="77777777" w:rsidR="00294F2A" w:rsidRPr="00337B8A" w:rsidRDefault="00294F2A" w:rsidP="00294F2A">
            <w:pPr>
              <w:pStyle w:val="Default"/>
              <w:spacing w:line="240" w:lineRule="atLeast"/>
              <w:ind w:left="360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5CF5505" w14:textId="3DAF7427" w:rsidR="00294F2A" w:rsidRPr="00337B8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Das interessierte Subjekt muss einen Umschlag mit den </w:t>
            </w:r>
            <w:r w:rsidR="007E6052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Unterlagen </w:t>
            </w:r>
            <w:r w:rsidR="00400B6A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gemäß</w:t>
            </w:r>
            <w:r w:rsidR="007E6052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Anlagen </w:t>
            </w:r>
            <w:r w:rsidR="00400B6A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zu </w:t>
            </w: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dieser </w:t>
            </w:r>
            <w:r w:rsidR="007E6052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Bekanntmachung</w:t>
            </w: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337B8A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bis zum </w:t>
            </w:r>
            <w:r w:rsidR="00292A6D" w:rsidRPr="00337B8A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de-DE"/>
              </w:rPr>
              <w:t>(T</w:t>
            </w:r>
            <w:r w:rsidRPr="00337B8A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de-DE"/>
              </w:rPr>
              <w:t>ag und genaue Uhrzeit</w:t>
            </w: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337B8A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de-DE"/>
              </w:rPr>
              <w:t>angebe</w:t>
            </w:r>
            <w:r w:rsidR="00292A6D" w:rsidRPr="00337B8A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de-DE"/>
              </w:rPr>
              <w:t>n)</w:t>
            </w: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="00400B6A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folgender</w:t>
            </w: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Adresse </w:t>
            </w:r>
            <w:r w:rsidR="007E6052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zukommen lassen</w:t>
            </w: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: </w:t>
            </w:r>
          </w:p>
          <w:p w14:paraId="5DFD8704" w14:textId="44C6AE96" w:rsidR="00294F2A" w:rsidRPr="00337B8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15249BCB" w14:textId="77777777" w:rsidR="007E6052" w:rsidRPr="00337B8A" w:rsidRDefault="007E6052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2319B5D" w14:textId="77777777" w:rsidR="00294F2A" w:rsidRPr="00337B8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337B8A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den Sitz der Vergabestelle oder eine etwaige andere Adresse angeben</w:t>
            </w:r>
          </w:p>
          <w:p w14:paraId="242222BE" w14:textId="77777777" w:rsidR="00294F2A" w:rsidRPr="00337B8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4C9B9256" w14:textId="0CD57E8A" w:rsidR="00294F2A" w:rsidRPr="00337B8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Der Umschlag kann bei der </w:t>
            </w:r>
            <w:r w:rsidRPr="00337B8A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Vergabestelle</w:t>
            </w: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auch persönlich </w:t>
            </w:r>
            <w:r w:rsidR="007E6052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abge</w:t>
            </w: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geben werden.</w:t>
            </w:r>
          </w:p>
          <w:p w14:paraId="0749D9BE" w14:textId="77777777" w:rsidR="00294F2A" w:rsidRPr="00337B8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37330219" w14:textId="77777777" w:rsidR="00294F2A" w:rsidRPr="00337B8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Auf dem Umschlag ist Folgendes anzugeben:</w:t>
            </w:r>
          </w:p>
          <w:p w14:paraId="3AE45C23" w14:textId="6BDAF707" w:rsidR="00294F2A" w:rsidRPr="00337B8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Firma und Rechtssitz des </w:t>
            </w:r>
            <w:r w:rsidR="00292A6D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Versenders</w:t>
            </w: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sowie Gegenstand der </w:t>
            </w:r>
            <w:r w:rsidR="007E6052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vorbereitenden </w:t>
            </w: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Marktkonsultation gemäß </w:t>
            </w:r>
            <w:r w:rsidR="009461BC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obigen</w:t>
            </w: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Angaben und </w:t>
            </w:r>
            <w:r w:rsidR="009461BC"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mit dem Wortlaut </w:t>
            </w:r>
            <w:r w:rsidRPr="00337B8A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„VORHERIGE MARKTKONSULTATION – NICHT ÖFFNEN“.</w:t>
            </w:r>
          </w:p>
          <w:p w14:paraId="65AF897F" w14:textId="77777777" w:rsidR="00CD2BEA" w:rsidRPr="00337B8A" w:rsidRDefault="00CD2BEA" w:rsidP="00294F2A">
            <w:pPr>
              <w:pStyle w:val="DeutscherText"/>
              <w:tabs>
                <w:tab w:val="left" w:pos="1155"/>
              </w:tabs>
              <w:spacing w:line="240" w:lineRule="auto"/>
              <w:ind w:right="78"/>
              <w:rPr>
                <w:noProof w:val="0"/>
                <w:lang w:val="de-DE"/>
              </w:rPr>
            </w:pPr>
          </w:p>
        </w:tc>
        <w:tc>
          <w:tcPr>
            <w:tcW w:w="1361" w:type="dxa"/>
          </w:tcPr>
          <w:p w14:paraId="1A3AC4BA" w14:textId="77777777" w:rsidR="00CD2BEA" w:rsidRPr="008D1365" w:rsidRDefault="00CD2BEA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5B99C326" w14:textId="7A9CB577" w:rsidR="00294F2A" w:rsidRPr="009C43C0" w:rsidRDefault="00294F2A" w:rsidP="00294F2A">
            <w:pPr>
              <w:pStyle w:val="Default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214FD7">
              <w:rPr>
                <w:rFonts w:ascii="Arial" w:hAnsi="Arial" w:cs="Arial"/>
                <w:b/>
                <w:color w:val="auto"/>
                <w:sz w:val="20"/>
                <w:szCs w:val="20"/>
              </w:rPr>
              <w:t>Modalitá</w:t>
            </w:r>
            <w:proofErr w:type="spellEnd"/>
            <w:r w:rsidRPr="00214FD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di svolgimento dell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 </w:t>
            </w:r>
            <w:r w:rsidR="00315EB8">
              <w:rPr>
                <w:rFonts w:ascii="Arial" w:hAnsi="Arial" w:cs="Arial"/>
                <w:b/>
                <w:color w:val="auto"/>
                <w:sz w:val="20"/>
                <w:szCs w:val="20"/>
              </w:rPr>
              <w:t>consultazione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preliminare di </w:t>
            </w:r>
            <w:r w:rsidRPr="00214FD7">
              <w:rPr>
                <w:rFonts w:ascii="Arial" w:hAnsi="Arial" w:cs="Arial"/>
                <w:b/>
                <w:color w:val="auto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  <w:r w:rsidRPr="00214FD7">
              <w:rPr>
                <w:rFonts w:ascii="Arial" w:hAnsi="Arial" w:cs="Arial"/>
                <w:b/>
                <w:color w:val="auto"/>
                <w:sz w:val="20"/>
                <w:szCs w:val="20"/>
              </w:rPr>
              <w:t>rcato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mod</w:t>
            </w:r>
            <w:r w:rsidRPr="009C43C0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</w:t>
            </w:r>
            <w:r w:rsidRPr="009C43C0">
              <w:rPr>
                <w:rFonts w:ascii="Arial" w:hAnsi="Arial" w:cs="Arial"/>
                <w:b/>
                <w:color w:val="FF0000"/>
                <w:sz w:val="20"/>
                <w:szCs w:val="20"/>
              </w:rPr>
              <w:t>itá</w:t>
            </w:r>
            <w:proofErr w:type="spellEnd"/>
            <w:r w:rsidRPr="009C43C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cartacea</w:t>
            </w:r>
          </w:p>
          <w:p w14:paraId="34E06FC2" w14:textId="77777777" w:rsidR="00294F2A" w:rsidRDefault="00294F2A" w:rsidP="00294F2A">
            <w:pPr>
              <w:pStyle w:val="Default"/>
              <w:spacing w:line="240" w:lineRule="atLeast"/>
              <w:ind w:left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12C2EFC" w14:textId="77777777" w:rsidR="00294F2A" w:rsidRPr="005E14F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Il soggetto interessato 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>dovrà far pervenire un plico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>contenente la documentazione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prescritta negli allegati al presente invito</w:t>
            </w:r>
            <w:r w:rsidRPr="005E14F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entro il termine del </w:t>
            </w:r>
            <w:r w:rsidRPr="00324E9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indicare giorno e ora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re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>capita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ndo la documentazione richiesta al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 xml:space="preserve"> seguente indirizzo: </w:t>
            </w:r>
          </w:p>
          <w:p w14:paraId="3713344B" w14:textId="77777777" w:rsidR="00294F2A" w:rsidRPr="005E14F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6C9E44E" w14:textId="77777777" w:rsidR="00294F2A" w:rsidRPr="00324E9F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24E9F">
              <w:rPr>
                <w:rFonts w:ascii="Arial" w:hAnsi="Arial" w:cs="Arial"/>
                <w:i/>
                <w:color w:val="FF0000"/>
                <w:sz w:val="20"/>
                <w:szCs w:val="20"/>
              </w:rPr>
              <w:t>indicare la sede della stazione appaltante o altro eventuale indirizzo</w:t>
            </w:r>
          </w:p>
          <w:p w14:paraId="3A4873FB" w14:textId="77777777" w:rsidR="00294F2A" w:rsidRPr="005E14F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896308A" w14:textId="77777777" w:rsidR="00294F2A" w:rsidRPr="005E14F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 xml:space="preserve">Il plico può altresì essere consegnato a mano presso </w:t>
            </w:r>
            <w:r w:rsidRPr="005E14FA">
              <w:rPr>
                <w:rFonts w:ascii="Arial" w:hAnsi="Arial" w:cs="Arial"/>
                <w:color w:val="FF0000"/>
                <w:sz w:val="20"/>
                <w:szCs w:val="20"/>
              </w:rPr>
              <w:t>la stazione appaltante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04D0D522" w14:textId="77777777" w:rsidR="00294F2A" w:rsidRPr="005E14F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8D3944" w14:textId="77777777" w:rsidR="00294F2A" w:rsidRPr="005E14F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>Il plico dovr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à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 xml:space="preserve"> recare sull'esterno:</w:t>
            </w:r>
          </w:p>
          <w:p w14:paraId="76DABD37" w14:textId="54E6A5CF" w:rsidR="00CD2BEA" w:rsidRPr="00294F2A" w:rsidRDefault="00294F2A" w:rsidP="00294F2A">
            <w:pPr>
              <w:pStyle w:val="Default"/>
              <w:spacing w:line="24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 xml:space="preserve">l'indicazione della denominazione sociale e la sede legale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del soggetto mittente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nché riportare la denominazione dell’oggetto della </w:t>
            </w:r>
            <w:r w:rsidR="009461BC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onsultazione preliminare di mercato come indicato in epigrafe nonché la 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>seguente dicitura: “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CONSULTAZIONE PRELIMINARE DI MERCATO</w:t>
            </w:r>
            <w:r w:rsidRPr="005E14FA">
              <w:rPr>
                <w:rFonts w:ascii="Arial" w:hAnsi="Arial" w:cs="Arial"/>
                <w:color w:val="auto"/>
                <w:sz w:val="20"/>
                <w:szCs w:val="20"/>
              </w:rPr>
              <w:t xml:space="preserve"> – NON APRIRE”.</w:t>
            </w:r>
          </w:p>
        </w:tc>
      </w:tr>
      <w:tr w:rsidR="00CD2BEA" w:rsidRPr="008E10B1" w14:paraId="44F35288" w14:textId="77777777" w:rsidTr="00294F2A">
        <w:tc>
          <w:tcPr>
            <w:tcW w:w="4139" w:type="dxa"/>
            <w:tcBorders>
              <w:bottom w:val="single" w:sz="4" w:space="0" w:color="auto"/>
            </w:tcBorders>
          </w:tcPr>
          <w:p w14:paraId="6C2CBD79" w14:textId="77777777" w:rsidR="00CD2BEA" w:rsidRPr="00674773" w:rsidRDefault="00CD2BEA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0B6DBAE7" w14:textId="77777777" w:rsidR="00CD2BEA" w:rsidRPr="00674773" w:rsidRDefault="00CD2BEA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14:paraId="0BA7F1C9" w14:textId="77777777" w:rsidR="00CD2BEA" w:rsidRPr="00674773" w:rsidRDefault="00CD2BEA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CD2BEA" w:rsidRPr="008E10B1" w14:paraId="2F531A2A" w14:textId="77777777" w:rsidTr="00264EC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5B2132F" w14:textId="77777777" w:rsidR="00294F2A" w:rsidRPr="008D1365" w:rsidRDefault="00294F2A" w:rsidP="007E6052">
            <w:pPr>
              <w:pStyle w:val="DeutscherText"/>
              <w:jc w:val="left"/>
              <w:rPr>
                <w:b/>
                <w:noProof w:val="0"/>
                <w:lang w:val="de-DE"/>
              </w:rPr>
            </w:pPr>
            <w:r w:rsidRPr="008D1365">
              <w:rPr>
                <w:b/>
                <w:noProof w:val="0"/>
                <w:lang w:val="de-DE"/>
              </w:rPr>
              <w:t>Allgemeine Anweisungen</w:t>
            </w:r>
          </w:p>
          <w:p w14:paraId="5B96BB81" w14:textId="0D0873C6" w:rsidR="00294F2A" w:rsidRDefault="00294F2A" w:rsidP="00294F2A">
            <w:pPr>
              <w:pStyle w:val="DeutscherText"/>
              <w:rPr>
                <w:noProof w:val="0"/>
                <w:lang w:val="de-DE"/>
              </w:rPr>
            </w:pPr>
            <w:r w:rsidRPr="008D1365">
              <w:rPr>
                <w:noProof w:val="0"/>
                <w:u w:val="single"/>
                <w:lang w:val="de-DE"/>
              </w:rPr>
              <w:t>Papierunterlagen</w:t>
            </w:r>
            <w:r w:rsidRPr="008D1365">
              <w:rPr>
                <w:noProof w:val="0"/>
                <w:lang w:val="de-DE"/>
              </w:rPr>
              <w:t xml:space="preserve">: Es wird darauf hingewiesen, dass die </w:t>
            </w:r>
            <w:r w:rsidR="00EC4CEF">
              <w:rPr>
                <w:noProof w:val="0"/>
                <w:lang w:val="de-DE"/>
              </w:rPr>
              <w:t>Originalu</w:t>
            </w:r>
            <w:r w:rsidRPr="008D1365">
              <w:rPr>
                <w:noProof w:val="0"/>
                <w:lang w:val="de-DE"/>
              </w:rPr>
              <w:t xml:space="preserve">nterschrift </w:t>
            </w:r>
            <w:r w:rsidR="00EC4CEF">
              <w:rPr>
                <w:noProof w:val="0"/>
                <w:lang w:val="de-DE"/>
              </w:rPr>
              <w:t>angebracht</w:t>
            </w:r>
            <w:r w:rsidRPr="008D1365">
              <w:rPr>
                <w:noProof w:val="0"/>
                <w:lang w:val="de-DE"/>
              </w:rPr>
              <w:t xml:space="preserve"> sein muss. </w:t>
            </w:r>
          </w:p>
          <w:p w14:paraId="40A41E01" w14:textId="53DDD7BE" w:rsidR="00CD2BEA" w:rsidRPr="008D1365" w:rsidRDefault="00294F2A" w:rsidP="00294F2A">
            <w:pPr>
              <w:pStyle w:val="DeutscherText"/>
              <w:rPr>
                <w:noProof w:val="0"/>
                <w:lang w:val="de-DE"/>
              </w:rPr>
            </w:pPr>
            <w:r w:rsidRPr="008D1365">
              <w:rPr>
                <w:noProof w:val="0"/>
                <w:u w:val="single"/>
                <w:lang w:val="de-DE"/>
              </w:rPr>
              <w:t>Elektronische Unterlagen:</w:t>
            </w:r>
            <w:r w:rsidRPr="008D1365">
              <w:rPr>
                <w:noProof w:val="0"/>
                <w:lang w:val="de-DE"/>
              </w:rPr>
              <w:t xml:space="preserve"> Die elektronisch übermittelten Anträge dürfen </w:t>
            </w:r>
            <w:r w:rsidR="007E6052">
              <w:rPr>
                <w:noProof w:val="0"/>
                <w:lang w:val="de-DE"/>
              </w:rPr>
              <w:t>nur</w:t>
            </w:r>
            <w:r w:rsidRPr="008D1365">
              <w:rPr>
                <w:noProof w:val="0"/>
                <w:lang w:val="de-DE"/>
              </w:rPr>
              <w:t xml:space="preserve"> mit digitaler </w:t>
            </w:r>
            <w:r w:rsidR="009461BC">
              <w:rPr>
                <w:noProof w:val="0"/>
                <w:lang w:val="de-DE"/>
              </w:rPr>
              <w:t>Unterschrift</w:t>
            </w:r>
            <w:r w:rsidRPr="008D1365">
              <w:rPr>
                <w:noProof w:val="0"/>
                <w:lang w:val="de-DE"/>
              </w:rPr>
              <w:t xml:space="preserve"> </w:t>
            </w:r>
            <w:r w:rsidR="007E6052">
              <w:rPr>
                <w:noProof w:val="0"/>
                <w:lang w:val="de-DE"/>
              </w:rPr>
              <w:t>nach Maßgabe von</w:t>
            </w:r>
            <w:r w:rsidRPr="008D1365">
              <w:rPr>
                <w:noProof w:val="0"/>
                <w:lang w:val="de-DE"/>
              </w:rPr>
              <w:t xml:space="preserve"> GvD </w:t>
            </w:r>
            <w:r w:rsidR="009461BC">
              <w:rPr>
                <w:noProof w:val="0"/>
                <w:lang w:val="de-DE"/>
              </w:rPr>
              <w:t xml:space="preserve">Nr. </w:t>
            </w:r>
            <w:r w:rsidRPr="008D1365">
              <w:rPr>
                <w:noProof w:val="0"/>
                <w:lang w:val="de-DE"/>
              </w:rPr>
              <w:t>82/2005 erstellt werden.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731FD38B" w14:textId="77777777" w:rsidR="00CD2BEA" w:rsidRPr="008D1365" w:rsidRDefault="00CD2BEA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7036AC4" w14:textId="77777777" w:rsidR="00294F2A" w:rsidRPr="00294F2A" w:rsidRDefault="00294F2A" w:rsidP="00294F2A">
            <w:pPr>
              <w:widowControl w:val="0"/>
              <w:ind w:right="79"/>
              <w:jc w:val="both"/>
              <w:rPr>
                <w:rFonts w:cs="Arial"/>
                <w:b/>
                <w:noProof w:val="0"/>
                <w:lang w:val="it-IT"/>
              </w:rPr>
            </w:pPr>
            <w:r w:rsidRPr="00294F2A">
              <w:rPr>
                <w:rFonts w:cs="Arial"/>
                <w:b/>
                <w:noProof w:val="0"/>
                <w:lang w:val="it-IT"/>
              </w:rPr>
              <w:t>Istruzioni di tipo generale</w:t>
            </w:r>
          </w:p>
          <w:p w14:paraId="4923B100" w14:textId="77777777" w:rsidR="00294F2A" w:rsidRPr="00294F2A" w:rsidRDefault="00294F2A" w:rsidP="00294F2A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294F2A">
              <w:rPr>
                <w:rFonts w:cs="Arial"/>
                <w:noProof w:val="0"/>
                <w:u w:val="single"/>
                <w:lang w:val="it-IT"/>
              </w:rPr>
              <w:t>Documentazione cartacea:</w:t>
            </w:r>
            <w:r w:rsidRPr="00294F2A">
              <w:rPr>
                <w:rFonts w:cs="Arial"/>
                <w:noProof w:val="0"/>
                <w:lang w:val="it-IT"/>
              </w:rPr>
              <w:t xml:space="preserve"> Si specifica che la sottoscrizione deve essere apposta in originale. </w:t>
            </w:r>
          </w:p>
          <w:p w14:paraId="794A37FF" w14:textId="77777777" w:rsidR="00CD2BEA" w:rsidRPr="00674773" w:rsidRDefault="00294F2A" w:rsidP="00294F2A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294F2A">
              <w:rPr>
                <w:rFonts w:cs="Arial"/>
                <w:noProof w:val="0"/>
                <w:u w:val="single"/>
                <w:lang w:val="it-IT"/>
              </w:rPr>
              <w:t>Documentazione telematica</w:t>
            </w:r>
            <w:r w:rsidRPr="00294F2A">
              <w:rPr>
                <w:rFonts w:cs="Arial"/>
                <w:noProof w:val="0"/>
                <w:lang w:val="it-IT"/>
              </w:rPr>
              <w:t xml:space="preserve">: Le proposte presentate per via telematica possono essere effettuate solo utilizzando la firma elettronica digitale come definita e disciplinata dal </w:t>
            </w:r>
            <w:proofErr w:type="spellStart"/>
            <w:r w:rsidRPr="00294F2A">
              <w:rPr>
                <w:rFonts w:cs="Arial"/>
                <w:noProof w:val="0"/>
                <w:lang w:val="it-IT"/>
              </w:rPr>
              <w:t>D.Lgs.</w:t>
            </w:r>
            <w:proofErr w:type="spellEnd"/>
            <w:r w:rsidRPr="00294F2A">
              <w:rPr>
                <w:rFonts w:cs="Arial"/>
                <w:noProof w:val="0"/>
                <w:lang w:val="it-IT"/>
              </w:rPr>
              <w:t xml:space="preserve"> n. 82/2005.</w:t>
            </w:r>
          </w:p>
        </w:tc>
      </w:tr>
      <w:tr w:rsidR="00CD2BEA" w:rsidRPr="008E10B1" w14:paraId="5F6FF7D3" w14:textId="77777777" w:rsidTr="00294F2A">
        <w:tc>
          <w:tcPr>
            <w:tcW w:w="4139" w:type="dxa"/>
            <w:tcBorders>
              <w:top w:val="single" w:sz="4" w:space="0" w:color="auto"/>
            </w:tcBorders>
          </w:tcPr>
          <w:p w14:paraId="221F7FB9" w14:textId="77777777" w:rsidR="00CD2BEA" w:rsidRPr="00674773" w:rsidRDefault="00CD2BEA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2D73941B" w14:textId="77777777" w:rsidR="00CD2BEA" w:rsidRPr="00674773" w:rsidRDefault="00CD2BEA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4605969E" w14:textId="77777777" w:rsidR="00CD2BEA" w:rsidRPr="00674773" w:rsidRDefault="00CD2BEA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CD2BEA" w:rsidRPr="008E10B1" w14:paraId="788D8985" w14:textId="77777777" w:rsidTr="000D772D">
        <w:tc>
          <w:tcPr>
            <w:tcW w:w="4139" w:type="dxa"/>
          </w:tcPr>
          <w:p w14:paraId="65833DFB" w14:textId="7048B4A6" w:rsidR="00CD2BEA" w:rsidRPr="009461BC" w:rsidRDefault="00294F2A" w:rsidP="009461BC">
            <w:pPr>
              <w:numPr>
                <w:ilvl w:val="0"/>
                <w:numId w:val="5"/>
              </w:numPr>
              <w:spacing w:line="240" w:lineRule="exact"/>
              <w:ind w:left="0" w:firstLine="0"/>
              <w:contextualSpacing/>
              <w:jc w:val="both"/>
              <w:rPr>
                <w:rFonts w:cs="Arial"/>
                <w:color w:val="000000"/>
                <w:lang w:val="de-DE" w:eastAsia="it-IT"/>
              </w:rPr>
            </w:pPr>
            <w:r w:rsidRPr="00494B1D">
              <w:rPr>
                <w:rFonts w:cs="Arial"/>
                <w:b/>
                <w:color w:val="000000"/>
                <w:lang w:val="de-DE" w:eastAsia="it-IT"/>
              </w:rPr>
              <w:t xml:space="preserve">Die Teilnehmer müssen die etwaigen Informationen und/oder Teile der technischen </w:t>
            </w:r>
            <w:r w:rsidR="009461BC">
              <w:rPr>
                <w:rFonts w:cs="Arial"/>
                <w:b/>
                <w:color w:val="000000"/>
                <w:lang w:val="de-DE" w:eastAsia="it-IT"/>
              </w:rPr>
              <w:t>Unterlagen</w:t>
            </w:r>
            <w:r w:rsidRPr="009461BC">
              <w:rPr>
                <w:rFonts w:cs="Arial"/>
                <w:b/>
                <w:color w:val="000000"/>
                <w:lang w:val="de-DE" w:eastAsia="it-IT"/>
              </w:rPr>
              <w:t xml:space="preserve">, </w:t>
            </w:r>
            <w:r w:rsidR="00EC4CEF">
              <w:rPr>
                <w:rFonts w:cs="Arial"/>
                <w:b/>
                <w:color w:val="000000"/>
                <w:lang w:val="de-DE" w:eastAsia="it-IT"/>
              </w:rPr>
              <w:t>welche</w:t>
            </w:r>
            <w:r w:rsidR="009461BC" w:rsidRPr="009461BC">
              <w:rPr>
                <w:rFonts w:cs="Arial"/>
                <w:b/>
                <w:color w:val="000000"/>
                <w:lang w:val="de-DE" w:eastAsia="it-IT"/>
              </w:rPr>
              <w:t xml:space="preserve"> technische und Betriebsgeheimnisse darstellen,</w:t>
            </w:r>
            <w:r w:rsidRPr="00494B1D">
              <w:rPr>
                <w:rFonts w:cs="Arial"/>
                <w:b/>
                <w:color w:val="000000"/>
                <w:lang w:val="de-DE" w:eastAsia="it-IT"/>
              </w:rPr>
              <w:t xml:space="preserve"> angeben</w:t>
            </w:r>
            <w:r w:rsidR="003A013C">
              <w:rPr>
                <w:rFonts w:cs="Arial"/>
                <w:b/>
                <w:color w:val="000000"/>
                <w:lang w:val="de-DE" w:eastAsia="it-IT"/>
              </w:rPr>
              <w:t>; d</w:t>
            </w:r>
            <w:r w:rsidRPr="00494B1D">
              <w:rPr>
                <w:rFonts w:cs="Arial"/>
                <w:b/>
                <w:color w:val="000000"/>
                <w:lang w:val="de-DE" w:eastAsia="it-IT"/>
              </w:rPr>
              <w:t xml:space="preserve">ie </w:t>
            </w:r>
            <w:r w:rsidRPr="00494B1D">
              <w:rPr>
                <w:rFonts w:cs="Arial"/>
                <w:b/>
                <w:color w:val="FF0000"/>
                <w:lang w:val="de-DE" w:eastAsia="it-IT"/>
              </w:rPr>
              <w:t>Vergabestelle</w:t>
            </w:r>
            <w:r w:rsidRPr="00494B1D">
              <w:rPr>
                <w:rFonts w:cs="Arial"/>
                <w:b/>
                <w:color w:val="000000"/>
                <w:lang w:val="de-DE" w:eastAsia="it-IT"/>
              </w:rPr>
              <w:t xml:space="preserve"> gibt die Inhalte</w:t>
            </w:r>
            <w:r>
              <w:rPr>
                <w:rFonts w:cs="Arial"/>
                <w:b/>
                <w:color w:val="000000"/>
                <w:lang w:val="de-DE" w:eastAsia="it-IT"/>
              </w:rPr>
              <w:t xml:space="preserve"> geschützter</w:t>
            </w:r>
            <w:r w:rsidRPr="00494B1D">
              <w:rPr>
                <w:rFonts w:cs="Arial"/>
                <w:b/>
                <w:color w:val="000000"/>
                <w:lang w:val="de-DE" w:eastAsia="it-IT"/>
              </w:rPr>
              <w:t xml:space="preserve"> Unterlagen</w:t>
            </w:r>
            <w:r>
              <w:rPr>
                <w:rFonts w:cs="Arial"/>
                <w:b/>
                <w:color w:val="000000"/>
                <w:lang w:val="de-DE" w:eastAsia="it-IT"/>
              </w:rPr>
              <w:t xml:space="preserve"> </w:t>
            </w:r>
            <w:r w:rsidR="009461BC">
              <w:rPr>
                <w:rFonts w:cs="Arial"/>
                <w:b/>
                <w:color w:val="000000"/>
                <w:lang w:val="de-DE" w:eastAsia="it-IT"/>
              </w:rPr>
              <w:t>nicht</w:t>
            </w:r>
            <w:r>
              <w:rPr>
                <w:rFonts w:cs="Arial"/>
                <w:b/>
                <w:color w:val="000000"/>
                <w:lang w:val="de-DE" w:eastAsia="it-IT"/>
              </w:rPr>
              <w:t xml:space="preserve"> weiter noch bekannt.</w:t>
            </w:r>
            <w:r w:rsidR="002A6754">
              <w:rPr>
                <w:rFonts w:cs="Arial"/>
                <w:b/>
                <w:color w:val="000000"/>
                <w:lang w:val="de-DE" w:eastAsia="it-IT"/>
              </w:rPr>
              <w:t xml:space="preserve"> </w:t>
            </w:r>
            <w:r w:rsidR="002A6754" w:rsidRPr="00764C00">
              <w:rPr>
                <w:rFonts w:cs="Arial"/>
                <w:b/>
                <w:color w:val="000000"/>
                <w:lang w:val="de-DE" w:eastAsia="it-IT"/>
              </w:rPr>
              <w:t xml:space="preserve">Die Teilnehmer müssen außerdem </w:t>
            </w:r>
            <w:r w:rsidR="009461BC">
              <w:rPr>
                <w:rFonts w:cs="Arial"/>
                <w:b/>
                <w:color w:val="000000"/>
                <w:lang w:val="de-DE" w:eastAsia="it-IT"/>
              </w:rPr>
              <w:t>alle</w:t>
            </w:r>
            <w:r w:rsidR="002A6754" w:rsidRPr="00764C00">
              <w:rPr>
                <w:rFonts w:cs="Arial"/>
                <w:b/>
                <w:color w:val="000000"/>
                <w:lang w:val="de-DE" w:eastAsia="it-IT"/>
              </w:rPr>
              <w:t xml:space="preserve"> weitere</w:t>
            </w:r>
            <w:r w:rsidR="009461BC">
              <w:rPr>
                <w:rFonts w:cs="Arial"/>
                <w:b/>
                <w:color w:val="000000"/>
                <w:lang w:val="de-DE" w:eastAsia="it-IT"/>
              </w:rPr>
              <w:t>n etwaigen</w:t>
            </w:r>
            <w:r w:rsidR="002A6754" w:rsidRPr="00764C00">
              <w:rPr>
                <w:rFonts w:cs="Arial"/>
                <w:b/>
                <w:color w:val="000000"/>
                <w:lang w:val="de-DE" w:eastAsia="it-IT"/>
              </w:rPr>
              <w:t xml:space="preserve"> Information</w:t>
            </w:r>
            <w:r w:rsidR="009461BC">
              <w:rPr>
                <w:rFonts w:cs="Arial"/>
                <w:b/>
                <w:color w:val="000000"/>
                <w:lang w:val="de-DE" w:eastAsia="it-IT"/>
              </w:rPr>
              <w:t>en</w:t>
            </w:r>
            <w:r w:rsidR="002A6754" w:rsidRPr="00764C00">
              <w:rPr>
                <w:rFonts w:cs="Arial"/>
                <w:b/>
                <w:color w:val="000000"/>
                <w:lang w:val="de-DE" w:eastAsia="it-IT"/>
              </w:rPr>
              <w:t xml:space="preserve"> angeben, </w:t>
            </w:r>
            <w:r w:rsidR="003A013C">
              <w:rPr>
                <w:rFonts w:cs="Arial"/>
                <w:b/>
                <w:color w:val="000000"/>
                <w:lang w:val="de-DE" w:eastAsia="it-IT"/>
              </w:rPr>
              <w:t>die dazu dienen können,</w:t>
            </w:r>
            <w:r w:rsidR="009461BC" w:rsidRPr="009461BC">
              <w:rPr>
                <w:rFonts w:cs="Arial"/>
                <w:b/>
                <w:color w:val="000000"/>
                <w:lang w:val="de-DE" w:eastAsia="it-IT"/>
              </w:rPr>
              <w:t xml:space="preserve"> die Marktposition und Kompetenz des Subjekts im </w:t>
            </w:r>
            <w:r w:rsidR="00EC4CEF">
              <w:rPr>
                <w:rFonts w:cs="Arial"/>
                <w:b/>
                <w:color w:val="000000"/>
                <w:lang w:val="de-DE" w:eastAsia="it-IT"/>
              </w:rPr>
              <w:t>einschlägigen</w:t>
            </w:r>
            <w:r w:rsidR="009461BC" w:rsidRPr="009461BC">
              <w:rPr>
                <w:rFonts w:cs="Arial"/>
                <w:b/>
                <w:color w:val="000000"/>
                <w:lang w:val="de-DE" w:eastAsia="it-IT"/>
              </w:rPr>
              <w:t xml:space="preserve"> Tätigkeitsgebiet </w:t>
            </w:r>
            <w:r w:rsidR="003A013C">
              <w:rPr>
                <w:rFonts w:cs="Arial"/>
                <w:b/>
                <w:color w:val="000000"/>
                <w:lang w:val="de-DE" w:eastAsia="it-IT"/>
              </w:rPr>
              <w:t xml:space="preserve">zu </w:t>
            </w:r>
            <w:r w:rsidR="009461BC" w:rsidRPr="009461BC">
              <w:rPr>
                <w:rFonts w:cs="Arial"/>
                <w:b/>
                <w:color w:val="000000"/>
                <w:lang w:val="de-DE" w:eastAsia="it-IT"/>
              </w:rPr>
              <w:t>erfass</w:t>
            </w:r>
            <w:r w:rsidR="003A013C">
              <w:rPr>
                <w:rFonts w:cs="Arial"/>
                <w:b/>
                <w:color w:val="000000"/>
                <w:lang w:val="de-DE" w:eastAsia="it-IT"/>
              </w:rPr>
              <w:t>en</w:t>
            </w:r>
            <w:r w:rsidR="002A6754" w:rsidRPr="009461BC">
              <w:rPr>
                <w:rFonts w:cs="Arial"/>
                <w:b/>
                <w:color w:val="000000"/>
                <w:lang w:val="de-DE" w:eastAsia="it-IT"/>
              </w:rPr>
              <w:t xml:space="preserve">. </w:t>
            </w:r>
          </w:p>
        </w:tc>
        <w:tc>
          <w:tcPr>
            <w:tcW w:w="1361" w:type="dxa"/>
          </w:tcPr>
          <w:p w14:paraId="76EDA856" w14:textId="77777777" w:rsidR="00CD2BEA" w:rsidRPr="008D1365" w:rsidRDefault="00CD2BEA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165FE980" w14:textId="5CD30108" w:rsidR="00CD2BEA" w:rsidRPr="008D1365" w:rsidRDefault="00294F2A" w:rsidP="00294F2A">
            <w:pPr>
              <w:numPr>
                <w:ilvl w:val="0"/>
                <w:numId w:val="16"/>
              </w:numPr>
              <w:spacing w:line="240" w:lineRule="exact"/>
              <w:ind w:left="24" w:hanging="24"/>
              <w:contextualSpacing/>
              <w:jc w:val="both"/>
              <w:rPr>
                <w:rFonts w:cs="Arial"/>
                <w:color w:val="000000"/>
                <w:lang w:val="it-IT" w:eastAsia="it-IT"/>
              </w:rPr>
            </w:pPr>
            <w:r w:rsidRPr="008D1365">
              <w:rPr>
                <w:rFonts w:cs="Arial"/>
                <w:b/>
                <w:color w:val="000000"/>
                <w:lang w:val="it-IT" w:eastAsia="it-IT"/>
              </w:rPr>
              <w:t xml:space="preserve">I singoli partecipanti dovranno indicare le eventuali informazioni e/o parti della documentazione tecnica presentata coperte da segreto tecnico – commerciale: </w:t>
            </w:r>
            <w:r w:rsidRPr="00CD55FC">
              <w:rPr>
                <w:rFonts w:cs="Arial"/>
                <w:b/>
                <w:color w:val="FF0000"/>
                <w:lang w:val="it-IT" w:eastAsia="it-IT"/>
              </w:rPr>
              <w:t>l</w:t>
            </w:r>
            <w:r w:rsidRPr="008D1365">
              <w:rPr>
                <w:rFonts w:cs="Arial"/>
                <w:b/>
                <w:color w:val="FF0000"/>
                <w:lang w:val="it-IT" w:eastAsia="it-IT"/>
              </w:rPr>
              <w:t>a stazione appaltante</w:t>
            </w:r>
            <w:r w:rsidRPr="008D1365">
              <w:rPr>
                <w:rFonts w:cs="Arial"/>
                <w:b/>
                <w:color w:val="000000"/>
                <w:lang w:val="it-IT" w:eastAsia="it-IT"/>
              </w:rPr>
              <w:t xml:space="preserve"> non condividerà né divulgherà i contenuti della documentazione segretata.</w:t>
            </w:r>
            <w:r w:rsidR="009C7621">
              <w:rPr>
                <w:rFonts w:cs="Arial"/>
                <w:b/>
                <w:color w:val="000000"/>
                <w:lang w:val="it-IT" w:eastAsia="it-IT"/>
              </w:rPr>
              <w:t xml:space="preserve"> </w:t>
            </w:r>
            <w:r w:rsidR="009C7621" w:rsidRPr="00764C00">
              <w:rPr>
                <w:rFonts w:cs="Arial"/>
                <w:b/>
                <w:color w:val="000000"/>
                <w:lang w:val="it-IT" w:eastAsia="it-IT"/>
              </w:rPr>
              <w:t>I partecipanti dovranno inoltre indicare ogni altra eventuale informazione utile a ricostruire la posizione del soggetto nel mercato e la competenza del soggetto nel campo di attività di cui alla consultazione.</w:t>
            </w:r>
          </w:p>
        </w:tc>
      </w:tr>
      <w:tr w:rsidR="00892076" w:rsidRPr="008E10B1" w14:paraId="2ACAB159" w14:textId="77777777" w:rsidTr="000D772D">
        <w:tc>
          <w:tcPr>
            <w:tcW w:w="4139" w:type="dxa"/>
          </w:tcPr>
          <w:p w14:paraId="68E1B218" w14:textId="77777777" w:rsidR="00892076" w:rsidRPr="00674773" w:rsidRDefault="00892076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357A2972" w14:textId="77777777" w:rsidR="00892076" w:rsidRPr="00674773" w:rsidRDefault="00892076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2A94D561" w14:textId="77777777" w:rsidR="00892076" w:rsidRPr="00674773" w:rsidRDefault="00892076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892076" w:rsidRPr="008E10B1" w14:paraId="0982B4D7" w14:textId="77777777" w:rsidTr="000D772D">
        <w:tc>
          <w:tcPr>
            <w:tcW w:w="4139" w:type="dxa"/>
          </w:tcPr>
          <w:p w14:paraId="3D026545" w14:textId="4D59E369" w:rsidR="00294F2A" w:rsidRPr="00494B1D" w:rsidRDefault="00294F2A" w:rsidP="00630EE5">
            <w:pPr>
              <w:widowControl w:val="0"/>
              <w:numPr>
                <w:ilvl w:val="0"/>
                <w:numId w:val="5"/>
              </w:numPr>
              <w:spacing w:line="240" w:lineRule="exact"/>
              <w:ind w:left="0" w:firstLine="0"/>
              <w:contextualSpacing/>
              <w:jc w:val="both"/>
              <w:rPr>
                <w:rFonts w:cs="Arial"/>
                <w:color w:val="000000"/>
                <w:lang w:val="de-DE" w:eastAsia="it-IT"/>
              </w:rPr>
            </w:pPr>
            <w:r w:rsidRPr="00494B1D">
              <w:rPr>
                <w:rFonts w:cs="Arial"/>
                <w:color w:val="000000"/>
                <w:lang w:val="de-DE" w:eastAsia="it-IT"/>
              </w:rPr>
              <w:t xml:space="preserve">Die </w:t>
            </w:r>
            <w:r w:rsidR="00EC4CEF">
              <w:rPr>
                <w:rFonts w:cs="Arial"/>
                <w:color w:val="000000"/>
                <w:lang w:val="de-DE" w:eastAsia="it-IT"/>
              </w:rPr>
              <w:t>Beteiligung an der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vorherige</w:t>
            </w:r>
            <w:r w:rsidR="00EC4CEF">
              <w:rPr>
                <w:rFonts w:cs="Arial"/>
                <w:color w:val="000000"/>
                <w:lang w:val="de-DE" w:eastAsia="it-IT"/>
              </w:rPr>
              <w:t>n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Marktkonsultation </w:t>
            </w:r>
            <w:r w:rsidR="00AE06B5">
              <w:rPr>
                <w:rFonts w:cs="Arial"/>
                <w:color w:val="000000"/>
                <w:lang w:val="de-DE" w:eastAsia="it-IT"/>
              </w:rPr>
              <w:t>hat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keinen Einfluss auf die spätere Teilnahme am Vergabeverfahren (d.h. sie schließt die Auftragsvergabe </w:t>
            </w:r>
            <w:r w:rsidR="00BC2D0F">
              <w:rPr>
                <w:rFonts w:cs="Arial"/>
                <w:color w:val="000000"/>
                <w:lang w:val="de-DE" w:eastAsia="it-IT"/>
              </w:rPr>
              <w:t>nicht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aus, sichert sie </w:t>
            </w:r>
            <w:r w:rsidR="00CD0557">
              <w:rPr>
                <w:rFonts w:cs="Arial"/>
                <w:color w:val="000000"/>
                <w:lang w:val="de-DE" w:eastAsia="it-IT"/>
              </w:rPr>
              <w:t>nicht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zu</w:t>
            </w:r>
            <w:r w:rsidR="00062411">
              <w:rPr>
                <w:rFonts w:cs="Arial"/>
                <w:color w:val="000000"/>
                <w:lang w:val="de-DE" w:eastAsia="it-IT"/>
              </w:rPr>
              <w:t xml:space="preserve">, </w:t>
            </w:r>
            <w:r w:rsidR="00BC2D0F">
              <w:rPr>
                <w:rFonts w:cs="Arial"/>
                <w:color w:val="000000"/>
                <w:lang w:val="de-DE" w:eastAsia="it-IT"/>
              </w:rPr>
              <w:t>noch</w:t>
            </w:r>
            <w:r w:rsidR="00062411" w:rsidRPr="00764C00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AF0230">
              <w:rPr>
                <w:rFonts w:cs="Arial"/>
                <w:color w:val="000000"/>
                <w:lang w:val="de-DE" w:eastAsia="it-IT"/>
              </w:rPr>
              <w:t xml:space="preserve">erwächst daraus </w:t>
            </w:r>
            <w:r w:rsidR="00AF0230" w:rsidRPr="00AF0230">
              <w:rPr>
                <w:rFonts w:cs="Arial"/>
                <w:color w:val="000000"/>
                <w:lang w:val="de-DE" w:eastAsia="it-IT"/>
              </w:rPr>
              <w:t>ein</w:t>
            </w:r>
            <w:r w:rsidR="00600FDE" w:rsidRPr="00AF0230">
              <w:rPr>
                <w:rFonts w:cs="Arial"/>
                <w:color w:val="000000"/>
                <w:lang w:val="de-DE" w:eastAsia="it-IT"/>
              </w:rPr>
              <w:t xml:space="preserve"> Vorteil</w:t>
            </w:r>
            <w:r w:rsidRPr="00764C00">
              <w:rPr>
                <w:rFonts w:cs="Arial"/>
                <w:color w:val="000000"/>
                <w:lang w:val="de-DE" w:eastAsia="it-IT"/>
              </w:rPr>
              <w:t>),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AF0230">
              <w:rPr>
                <w:rFonts w:cs="Arial"/>
                <w:color w:val="000000"/>
                <w:lang w:val="de-DE" w:eastAsia="it-IT"/>
              </w:rPr>
              <w:t>da sie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 keine </w:t>
            </w:r>
            <w:r w:rsidR="009805E5">
              <w:rPr>
                <w:rFonts w:cs="Arial"/>
                <w:color w:val="000000"/>
                <w:lang w:val="de-DE" w:eastAsia="it-IT"/>
              </w:rPr>
              <w:t>Zugangs</w:t>
            </w:r>
            <w:r w:rsidR="002E7D64">
              <w:rPr>
                <w:rFonts w:cs="Arial"/>
                <w:color w:val="000000"/>
                <w:lang w:val="de-DE" w:eastAsia="it-IT"/>
              </w:rPr>
              <w:t>v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oraussetzung </w:t>
            </w:r>
            <w:r w:rsidRPr="00494B1D">
              <w:rPr>
                <w:rFonts w:cs="Arial"/>
                <w:color w:val="000000"/>
                <w:lang w:val="de-DE" w:eastAsia="it-IT"/>
              </w:rPr>
              <w:lastRenderedPageBreak/>
              <w:t xml:space="preserve">und keine Verpflichtung </w:t>
            </w:r>
            <w:r w:rsidR="009805E5">
              <w:rPr>
                <w:rFonts w:cs="Arial"/>
                <w:color w:val="000000"/>
                <w:lang w:val="de-DE" w:eastAsia="it-IT"/>
              </w:rPr>
              <w:t>zur Verfahrensw</w:t>
            </w:r>
            <w:r w:rsidRPr="00494B1D">
              <w:rPr>
                <w:rFonts w:cs="Arial"/>
                <w:color w:val="000000"/>
                <w:lang w:val="de-DE" w:eastAsia="it-IT"/>
              </w:rPr>
              <w:t>eiter</w:t>
            </w:r>
            <w:r w:rsidR="00CD0557">
              <w:rPr>
                <w:rFonts w:cs="Arial"/>
                <w:bCs/>
                <w:sz w:val="24"/>
                <w:szCs w:val="16"/>
                <w:lang w:val="de-DE"/>
              </w:rPr>
              <w:softHyphen/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führung </w:t>
            </w:r>
            <w:r w:rsidR="00AF0230" w:rsidRPr="00494B1D">
              <w:rPr>
                <w:rFonts w:cs="Arial"/>
                <w:color w:val="000000"/>
                <w:lang w:val="de-DE" w:eastAsia="it-IT"/>
              </w:rPr>
              <w:t>dar</w:t>
            </w:r>
            <w:r w:rsidR="00AF0230">
              <w:rPr>
                <w:rFonts w:cs="Arial"/>
                <w:color w:val="000000"/>
                <w:lang w:val="de-DE" w:eastAsia="it-IT"/>
              </w:rPr>
              <w:t>stellt</w:t>
            </w:r>
            <w:r w:rsidRPr="00494B1D">
              <w:rPr>
                <w:rFonts w:cs="Arial"/>
                <w:color w:val="000000"/>
                <w:lang w:val="de-DE" w:eastAsia="it-IT"/>
              </w:rPr>
              <w:t xml:space="preserve">. </w:t>
            </w:r>
          </w:p>
          <w:p w14:paraId="69485D4C" w14:textId="79A2C5A4" w:rsidR="00294F2A" w:rsidRPr="00494B1D" w:rsidRDefault="00AF0230" w:rsidP="00630EE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i/>
                <w:color w:val="000000"/>
                <w:lang w:val="de-DE" w:eastAsia="it-IT"/>
              </w:rPr>
            </w:pPr>
            <w:r>
              <w:rPr>
                <w:rFonts w:cs="Arial"/>
                <w:b/>
                <w:color w:val="000000"/>
                <w:lang w:val="de-DE" w:eastAsia="it-IT"/>
              </w:rPr>
              <w:t>D</w:t>
            </w:r>
            <w:r w:rsidR="00294F2A" w:rsidRPr="00A91753">
              <w:rPr>
                <w:rFonts w:cs="Arial"/>
                <w:b/>
                <w:color w:val="000000"/>
                <w:lang w:val="de-DE" w:eastAsia="it-IT"/>
              </w:rPr>
              <w:t xml:space="preserve">ie </w:t>
            </w:r>
            <w:r w:rsidR="00CD0557">
              <w:rPr>
                <w:rFonts w:cs="Arial"/>
                <w:b/>
                <w:color w:val="000000"/>
                <w:lang w:val="de-DE" w:eastAsia="it-IT"/>
              </w:rPr>
              <w:t>Beteiligung an der</w:t>
            </w:r>
            <w:r w:rsidR="00294F2A" w:rsidRPr="00A91753">
              <w:rPr>
                <w:rFonts w:cs="Arial"/>
                <w:b/>
                <w:color w:val="000000"/>
                <w:lang w:val="de-DE" w:eastAsia="it-IT"/>
              </w:rPr>
              <w:t xml:space="preserve"> Marktkonsultation </w:t>
            </w:r>
            <w:r w:rsidR="00CD55FC">
              <w:rPr>
                <w:rFonts w:cs="Arial"/>
                <w:b/>
                <w:color w:val="000000"/>
                <w:lang w:val="de-DE" w:eastAsia="it-IT"/>
              </w:rPr>
              <w:t>begründet</w:t>
            </w:r>
            <w:r w:rsidR="00294F2A" w:rsidRPr="00A91753">
              <w:rPr>
                <w:rFonts w:cs="Arial"/>
                <w:b/>
                <w:color w:val="000000"/>
                <w:lang w:val="de-DE" w:eastAsia="it-IT"/>
              </w:rPr>
              <w:t xml:space="preserve"> </w:t>
            </w:r>
            <w:r>
              <w:rPr>
                <w:rFonts w:cs="Arial"/>
                <w:b/>
                <w:color w:val="000000"/>
                <w:lang w:val="de-DE" w:eastAsia="it-IT"/>
              </w:rPr>
              <w:t>kein</w:t>
            </w:r>
            <w:r w:rsidR="00330609">
              <w:rPr>
                <w:rFonts w:cs="Arial"/>
                <w:b/>
                <w:color w:val="000000"/>
                <w:lang w:val="de-DE" w:eastAsia="it-IT"/>
              </w:rPr>
              <w:t>en Anspruch</w:t>
            </w:r>
            <w:r w:rsidR="00294F2A" w:rsidRPr="00A91753">
              <w:rPr>
                <w:rFonts w:cs="Arial"/>
                <w:b/>
                <w:color w:val="000000"/>
                <w:lang w:val="de-DE" w:eastAsia="it-IT"/>
              </w:rPr>
              <w:t xml:space="preserve"> </w:t>
            </w:r>
            <w:r w:rsidR="002E7D64" w:rsidRPr="00875CCE">
              <w:rPr>
                <w:rFonts w:cs="Arial"/>
                <w:b/>
                <w:lang w:val="de-DE" w:eastAsia="it-IT"/>
              </w:rPr>
              <w:t>gegenüber</w:t>
            </w:r>
            <w:r w:rsidR="002E7D64">
              <w:rPr>
                <w:rFonts w:cs="Arial"/>
                <w:b/>
                <w:color w:val="000000"/>
                <w:lang w:val="de-DE" w:eastAsia="it-IT"/>
              </w:rPr>
              <w:t xml:space="preserve"> </w:t>
            </w:r>
            <w:r w:rsidR="00875CCE">
              <w:rPr>
                <w:rFonts w:cs="Arial"/>
                <w:b/>
                <w:color w:val="000000"/>
                <w:lang w:val="de-DE" w:eastAsia="it-IT"/>
              </w:rPr>
              <w:t>der</w:t>
            </w:r>
            <w:r w:rsidR="00294F2A" w:rsidRPr="00A91753">
              <w:rPr>
                <w:rFonts w:cs="Arial"/>
                <w:b/>
                <w:color w:val="000000"/>
                <w:lang w:val="de-DE" w:eastAsia="it-IT"/>
              </w:rPr>
              <w:t xml:space="preserve"> </w:t>
            </w:r>
            <w:r w:rsidR="00294F2A" w:rsidRPr="00A91753">
              <w:rPr>
                <w:rFonts w:cs="Arial"/>
                <w:b/>
                <w:color w:val="FF0000"/>
                <w:lang w:val="de-DE" w:eastAsia="it-IT"/>
              </w:rPr>
              <w:t>Vergabestelle</w:t>
            </w:r>
            <w:r w:rsidR="00294F2A" w:rsidRPr="00A91753">
              <w:rPr>
                <w:rFonts w:cs="Arial"/>
                <w:b/>
                <w:color w:val="000000"/>
                <w:lang w:val="de-DE" w:eastAsia="it-IT"/>
              </w:rPr>
              <w:t>.</w:t>
            </w:r>
            <w:r>
              <w:rPr>
                <w:rFonts w:cs="Arial"/>
                <w:b/>
                <w:color w:val="000000"/>
                <w:lang w:val="de-DE" w:eastAsia="it-IT"/>
              </w:rPr>
              <w:t xml:space="preserve"> </w:t>
            </w:r>
            <w:r w:rsidR="002E7D64">
              <w:rPr>
                <w:rFonts w:cs="Arial"/>
                <w:b/>
                <w:color w:val="000000"/>
                <w:lang w:val="de-DE" w:eastAsia="it-IT"/>
              </w:rPr>
              <w:t>Diesbezüglich</w:t>
            </w:r>
            <w:r w:rsidR="00294F2A" w:rsidRPr="00494B1D">
              <w:rPr>
                <w:rFonts w:cs="Arial"/>
                <w:b/>
                <w:color w:val="000000"/>
                <w:lang w:val="de-DE" w:eastAsia="it-IT"/>
              </w:rPr>
              <w:t xml:space="preserve"> können keine Rechte geltend </w:t>
            </w:r>
            <w:r w:rsidR="002E7D64">
              <w:rPr>
                <w:rFonts w:cs="Arial"/>
                <w:b/>
                <w:color w:val="000000"/>
                <w:lang w:val="de-DE" w:eastAsia="it-IT"/>
              </w:rPr>
              <w:t>ge</w:t>
            </w:r>
            <w:r w:rsidR="00294F2A" w:rsidRPr="00494B1D">
              <w:rPr>
                <w:rFonts w:cs="Arial"/>
                <w:b/>
                <w:color w:val="000000"/>
                <w:lang w:val="de-DE" w:eastAsia="it-IT"/>
              </w:rPr>
              <w:t>mach</w:t>
            </w:r>
            <w:r w:rsidR="002E7D64">
              <w:rPr>
                <w:rFonts w:cs="Arial"/>
                <w:b/>
                <w:color w:val="000000"/>
                <w:lang w:val="de-DE" w:eastAsia="it-IT"/>
              </w:rPr>
              <w:t>t werd</w:t>
            </w:r>
            <w:r w:rsidR="00294F2A" w:rsidRPr="00494B1D">
              <w:rPr>
                <w:rFonts w:cs="Arial"/>
                <w:b/>
                <w:color w:val="000000"/>
                <w:lang w:val="de-DE" w:eastAsia="it-IT"/>
              </w:rPr>
              <w:t xml:space="preserve">en, und die </w:t>
            </w:r>
            <w:r w:rsidR="00294F2A" w:rsidRPr="00494B1D">
              <w:rPr>
                <w:rFonts w:cs="Arial"/>
                <w:b/>
                <w:color w:val="FF0000"/>
                <w:lang w:val="de-DE" w:eastAsia="it-IT"/>
              </w:rPr>
              <w:t>Vergabestelle</w:t>
            </w:r>
            <w:r w:rsidR="00294F2A" w:rsidRPr="00494B1D">
              <w:rPr>
                <w:rFonts w:cs="Arial"/>
                <w:b/>
                <w:color w:val="000000"/>
                <w:lang w:val="de-DE" w:eastAsia="it-IT"/>
              </w:rPr>
              <w:t xml:space="preserve"> behält sich das Recht vor, die im Rahmen der Marktkonsultation er</w:t>
            </w:r>
            <w:r w:rsidR="002E7D64">
              <w:rPr>
                <w:rFonts w:cs="Arial"/>
                <w:b/>
                <w:color w:val="000000"/>
                <w:lang w:val="de-DE" w:eastAsia="it-IT"/>
              </w:rPr>
              <w:t>worbene</w:t>
            </w:r>
            <w:r w:rsidR="00294F2A" w:rsidRPr="00494B1D">
              <w:rPr>
                <w:rFonts w:cs="Arial"/>
                <w:b/>
                <w:color w:val="000000"/>
                <w:lang w:val="de-DE" w:eastAsia="it-IT"/>
              </w:rPr>
              <w:t xml:space="preserve">n Informationen </w:t>
            </w:r>
            <w:r w:rsidR="00CD0557">
              <w:rPr>
                <w:rFonts w:cs="Arial"/>
                <w:b/>
                <w:color w:val="000000"/>
                <w:lang w:val="de-DE" w:eastAsia="it-IT"/>
              </w:rPr>
              <w:t>unter Wahrung</w:t>
            </w:r>
            <w:r w:rsidR="002E7D64">
              <w:rPr>
                <w:rFonts w:cs="Arial"/>
                <w:b/>
                <w:color w:val="000000"/>
                <w:lang w:val="de-DE" w:eastAsia="it-IT"/>
              </w:rPr>
              <w:t xml:space="preserve"> der Rechte des</w:t>
            </w:r>
            <w:r w:rsidR="00294F2A" w:rsidRPr="00494B1D">
              <w:rPr>
                <w:rFonts w:cs="Arial"/>
                <w:b/>
                <w:color w:val="000000"/>
                <w:lang w:val="de-DE" w:eastAsia="it-IT"/>
              </w:rPr>
              <w:t xml:space="preserve"> geistige</w:t>
            </w:r>
            <w:r w:rsidR="002E7D64">
              <w:rPr>
                <w:rFonts w:cs="Arial"/>
                <w:b/>
                <w:color w:val="000000"/>
                <w:lang w:val="de-DE" w:eastAsia="it-IT"/>
              </w:rPr>
              <w:t>n</w:t>
            </w:r>
            <w:r w:rsidR="00294F2A" w:rsidRPr="00494B1D">
              <w:rPr>
                <w:rFonts w:cs="Arial"/>
                <w:b/>
                <w:color w:val="000000"/>
                <w:lang w:val="de-DE" w:eastAsia="it-IT"/>
              </w:rPr>
              <w:t xml:space="preserve"> Eigentum</w:t>
            </w:r>
            <w:r w:rsidR="002E7D64">
              <w:rPr>
                <w:rFonts w:cs="Arial"/>
                <w:b/>
                <w:color w:val="000000"/>
                <w:lang w:val="de-DE" w:eastAsia="it-IT"/>
              </w:rPr>
              <w:t>s</w:t>
            </w:r>
            <w:r w:rsidR="00294F2A" w:rsidRPr="00494B1D">
              <w:rPr>
                <w:rFonts w:cs="Arial"/>
                <w:b/>
                <w:color w:val="000000"/>
                <w:lang w:val="de-DE" w:eastAsia="it-IT"/>
              </w:rPr>
              <w:t xml:space="preserve"> und </w:t>
            </w:r>
            <w:r w:rsidR="00294F2A">
              <w:rPr>
                <w:rFonts w:cs="Arial"/>
                <w:b/>
                <w:color w:val="000000"/>
                <w:lang w:val="de-DE" w:eastAsia="it-IT"/>
              </w:rPr>
              <w:t>„</w:t>
            </w:r>
            <w:r w:rsidR="002E7D64">
              <w:rPr>
                <w:rFonts w:cs="Arial"/>
                <w:b/>
                <w:i/>
                <w:color w:val="000000"/>
                <w:lang w:val="de-DE" w:eastAsia="it-IT"/>
              </w:rPr>
              <w:t>sofern</w:t>
            </w:r>
            <w:r w:rsidR="00294F2A" w:rsidRPr="00494B1D">
              <w:rPr>
                <w:rFonts w:cs="Arial"/>
                <w:b/>
                <w:i/>
                <w:color w:val="000000"/>
                <w:lang w:val="de-DE" w:eastAsia="it-IT"/>
              </w:rPr>
              <w:t xml:space="preserve"> </w:t>
            </w:r>
            <w:r w:rsidR="00BC5964">
              <w:rPr>
                <w:rFonts w:cs="Arial"/>
                <w:b/>
                <w:i/>
                <w:color w:val="000000"/>
                <w:lang w:val="de-DE" w:eastAsia="it-IT"/>
              </w:rPr>
              <w:t xml:space="preserve">sie </w:t>
            </w:r>
            <w:r w:rsidR="00294F2A" w:rsidRPr="00494B1D">
              <w:rPr>
                <w:rFonts w:cs="Arial"/>
                <w:b/>
                <w:i/>
                <w:color w:val="000000"/>
                <w:lang w:val="de-DE" w:eastAsia="it-IT"/>
              </w:rPr>
              <w:t xml:space="preserve">die Grundsätze der Nichtdiskriminierung und Transparenz nicht </w:t>
            </w:r>
            <w:r w:rsidR="00BC5964">
              <w:rPr>
                <w:rFonts w:cs="Arial"/>
                <w:b/>
                <w:i/>
                <w:color w:val="000000"/>
                <w:lang w:val="de-DE" w:eastAsia="it-IT"/>
              </w:rPr>
              <w:t>verletzen</w:t>
            </w:r>
            <w:r w:rsidR="00294F2A">
              <w:rPr>
                <w:rFonts w:cs="Arial"/>
                <w:b/>
                <w:i/>
                <w:color w:val="000000"/>
                <w:lang w:val="de-DE" w:eastAsia="it-IT"/>
              </w:rPr>
              <w:t>“</w:t>
            </w:r>
            <w:r w:rsidR="00294F2A" w:rsidRPr="00494B1D">
              <w:rPr>
                <w:rFonts w:cs="Arial"/>
                <w:b/>
                <w:i/>
                <w:color w:val="000000"/>
                <w:lang w:val="de-DE" w:eastAsia="it-IT"/>
              </w:rPr>
              <w:t xml:space="preserve">, </w:t>
            </w:r>
            <w:r w:rsidR="002E7D64" w:rsidRPr="00494B1D">
              <w:rPr>
                <w:rFonts w:cs="Arial"/>
                <w:b/>
                <w:color w:val="000000"/>
                <w:lang w:val="de-DE" w:eastAsia="it-IT"/>
              </w:rPr>
              <w:t xml:space="preserve">für die Planung und Abwicklung des Vergabeverfahrens </w:t>
            </w:r>
            <w:r w:rsidR="00294F2A" w:rsidRPr="00494B1D">
              <w:rPr>
                <w:rFonts w:cs="Arial"/>
                <w:b/>
                <w:color w:val="000000"/>
                <w:lang w:val="de-DE" w:eastAsia="it-IT"/>
              </w:rPr>
              <w:t xml:space="preserve">zu </w:t>
            </w:r>
            <w:r w:rsidR="00277435">
              <w:rPr>
                <w:rFonts w:cs="Arial"/>
                <w:b/>
                <w:color w:val="000000"/>
                <w:lang w:val="de-DE" w:eastAsia="it-IT"/>
              </w:rPr>
              <w:t>nutzen</w:t>
            </w:r>
            <w:r w:rsidR="00294F2A" w:rsidRPr="00494B1D">
              <w:rPr>
                <w:rFonts w:cs="Arial"/>
                <w:b/>
                <w:color w:val="000000"/>
                <w:lang w:val="de-DE" w:eastAsia="it-IT"/>
              </w:rPr>
              <w:t>.</w:t>
            </w:r>
          </w:p>
          <w:p w14:paraId="18301CC8" w14:textId="760AC35D" w:rsidR="00294F2A" w:rsidRDefault="00294F2A" w:rsidP="00294F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de-DE" w:eastAsia="it-IT"/>
              </w:rPr>
            </w:pPr>
            <w:r w:rsidRPr="00494B1D">
              <w:rPr>
                <w:rFonts w:cs="Arial"/>
                <w:lang w:val="de-DE" w:eastAsia="it-IT"/>
              </w:rPr>
              <w:t>Die</w:t>
            </w:r>
            <w:r w:rsidRPr="00494B1D">
              <w:rPr>
                <w:rFonts w:cs="Arial"/>
                <w:color w:val="FF0000"/>
                <w:lang w:val="de-DE" w:eastAsia="it-IT"/>
              </w:rPr>
              <w:t xml:space="preserve"> </w:t>
            </w:r>
            <w:r w:rsidRPr="00494B1D">
              <w:rPr>
                <w:rFonts w:cs="Arial"/>
                <w:b/>
                <w:color w:val="FF0000"/>
                <w:lang w:val="de-DE" w:eastAsia="it-IT"/>
              </w:rPr>
              <w:t>Vergabestelle</w:t>
            </w:r>
            <w:r w:rsidRPr="00494B1D">
              <w:rPr>
                <w:rFonts w:cs="Arial"/>
                <w:color w:val="FF0000"/>
                <w:lang w:val="de-DE" w:eastAsia="it-IT"/>
              </w:rPr>
              <w:t xml:space="preserve"> </w:t>
            </w:r>
            <w:r w:rsidRPr="00494B1D">
              <w:rPr>
                <w:rFonts w:cs="Arial"/>
                <w:lang w:val="de-DE" w:eastAsia="it-IT"/>
              </w:rPr>
              <w:t>kann die</w:t>
            </w:r>
            <w:r>
              <w:rPr>
                <w:rFonts w:cs="Arial"/>
                <w:color w:val="000000"/>
                <w:lang w:val="de-DE" w:eastAsia="it-IT"/>
              </w:rPr>
              <w:t xml:space="preserve"> Marktkonsultation </w:t>
            </w:r>
            <w:r w:rsidR="00600FDE" w:rsidRPr="00764C00">
              <w:rPr>
                <w:rFonts w:cs="Arial"/>
                <w:color w:val="000000"/>
                <w:lang w:val="de-DE" w:eastAsia="it-IT"/>
              </w:rPr>
              <w:t xml:space="preserve">jederzeit </w:t>
            </w:r>
            <w:r w:rsidRPr="00764C00">
              <w:rPr>
                <w:rFonts w:cs="Arial"/>
                <w:color w:val="000000"/>
                <w:lang w:val="de-DE" w:eastAsia="it-IT"/>
              </w:rPr>
              <w:t xml:space="preserve">unterbrechen, </w:t>
            </w:r>
            <w:r w:rsidR="00600FDE" w:rsidRPr="00764C00">
              <w:rPr>
                <w:rFonts w:cs="Arial"/>
                <w:color w:val="000000"/>
                <w:lang w:val="de-DE" w:eastAsia="it-IT"/>
              </w:rPr>
              <w:t xml:space="preserve">abändern, verlängern, </w:t>
            </w:r>
            <w:r w:rsidRPr="00764C00">
              <w:rPr>
                <w:rFonts w:cs="Arial"/>
                <w:color w:val="000000"/>
                <w:lang w:val="de-DE" w:eastAsia="it-IT"/>
              </w:rPr>
              <w:t>aussetzen oder widerrufen</w:t>
            </w:r>
            <w:r w:rsidR="00764C00" w:rsidRPr="00764C00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BC5964">
              <w:rPr>
                <w:rFonts w:cs="Arial"/>
                <w:color w:val="000000"/>
                <w:lang w:val="de-DE" w:eastAsia="it-IT"/>
              </w:rPr>
              <w:t>und auf Anfrage</w:t>
            </w:r>
            <w:r w:rsidR="00CD0557">
              <w:rPr>
                <w:rFonts w:cs="Arial"/>
                <w:color w:val="000000"/>
                <w:lang w:val="de-DE" w:eastAsia="it-IT"/>
              </w:rPr>
              <w:t xml:space="preserve"> der Beteiligten</w:t>
            </w:r>
            <w:r w:rsidR="00BC5964">
              <w:rPr>
                <w:rFonts w:cs="Arial"/>
                <w:color w:val="000000"/>
                <w:lang w:val="de-DE" w:eastAsia="it-IT"/>
              </w:rPr>
              <w:t xml:space="preserve"> die evtl. hinterlegten Unterlagen zurückgeben lassen, </w:t>
            </w:r>
            <w:r w:rsidR="00600FDE" w:rsidRPr="00764C00">
              <w:rPr>
                <w:rFonts w:cs="Arial"/>
                <w:color w:val="000000"/>
                <w:lang w:val="de-DE" w:eastAsia="it-IT"/>
              </w:rPr>
              <w:t xml:space="preserve">ohne dass </w:t>
            </w:r>
            <w:r w:rsidR="00712DFA" w:rsidRPr="00764C00">
              <w:rPr>
                <w:rFonts w:cs="Arial"/>
                <w:color w:val="000000"/>
                <w:lang w:val="de-DE" w:eastAsia="it-IT"/>
              </w:rPr>
              <w:t>dadurch</w:t>
            </w:r>
            <w:r w:rsidR="00600FDE" w:rsidRPr="00764C00">
              <w:rPr>
                <w:rFonts w:cs="Arial"/>
                <w:color w:val="000000"/>
                <w:lang w:val="de-DE" w:eastAsia="it-IT"/>
              </w:rPr>
              <w:t xml:space="preserve"> auf </w:t>
            </w:r>
            <w:r w:rsidR="00712DFA" w:rsidRPr="00764C00">
              <w:rPr>
                <w:rFonts w:cs="Arial"/>
                <w:color w:val="000000"/>
                <w:lang w:val="de-DE" w:eastAsia="it-IT"/>
              </w:rPr>
              <w:t>irgendeine</w:t>
            </w:r>
            <w:r w:rsidR="00600FDE" w:rsidRPr="00764C00">
              <w:rPr>
                <w:rFonts w:cs="Arial"/>
                <w:color w:val="000000"/>
                <w:lang w:val="de-DE" w:eastAsia="it-IT"/>
              </w:rPr>
              <w:t xml:space="preserve"> Weise </w:t>
            </w:r>
            <w:r w:rsidR="00712DFA" w:rsidRPr="00764C00">
              <w:rPr>
                <w:rFonts w:cs="Arial"/>
                <w:color w:val="000000"/>
                <w:lang w:val="de-DE" w:eastAsia="it-IT"/>
              </w:rPr>
              <w:t xml:space="preserve">ein </w:t>
            </w:r>
            <w:r w:rsidR="00600FDE" w:rsidRPr="00764C00">
              <w:rPr>
                <w:rFonts w:cs="Arial"/>
                <w:color w:val="000000"/>
                <w:lang w:val="de-DE" w:eastAsia="it-IT"/>
              </w:rPr>
              <w:t xml:space="preserve">Recht oder Anspruch auf </w:t>
            </w:r>
            <w:r w:rsidR="00712DFA" w:rsidRPr="00764C00">
              <w:rPr>
                <w:rFonts w:cs="Arial"/>
                <w:color w:val="000000"/>
                <w:lang w:val="de-DE" w:eastAsia="it-IT"/>
              </w:rPr>
              <w:t>Schadenersatz oder Entschädigung ensteht.</w:t>
            </w:r>
            <w:r w:rsidR="00712DFA">
              <w:rPr>
                <w:rFonts w:cs="Arial"/>
                <w:color w:val="000000"/>
                <w:lang w:val="de-DE" w:eastAsia="it-IT"/>
              </w:rPr>
              <w:t xml:space="preserve"> </w:t>
            </w:r>
          </w:p>
          <w:p w14:paraId="0B9EF2AB" w14:textId="746B5D7A" w:rsidR="007A4366" w:rsidRDefault="007A4366" w:rsidP="00294F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de-DE" w:eastAsia="it-IT"/>
              </w:rPr>
            </w:pPr>
          </w:p>
          <w:p w14:paraId="55EDFC04" w14:textId="77777777" w:rsidR="00BC5964" w:rsidRDefault="00BC5964" w:rsidP="00294F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de-DE" w:eastAsia="it-IT"/>
              </w:rPr>
            </w:pPr>
          </w:p>
          <w:p w14:paraId="0F729203" w14:textId="2D988701" w:rsidR="00801CD6" w:rsidRPr="00764C00" w:rsidRDefault="00801CD6" w:rsidP="00294F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de-DE" w:eastAsia="it-IT"/>
              </w:rPr>
            </w:pPr>
            <w:r w:rsidRPr="00764C00">
              <w:rPr>
                <w:rFonts w:cs="Arial"/>
                <w:color w:val="000000"/>
                <w:lang w:val="de-DE" w:eastAsia="it-IT"/>
              </w:rPr>
              <w:t xml:space="preserve">Die Vergabestelle behält </w:t>
            </w:r>
            <w:r w:rsidR="0031527A" w:rsidRPr="00764C00">
              <w:rPr>
                <w:rFonts w:cs="Arial"/>
                <w:color w:val="000000"/>
                <w:lang w:val="de-DE" w:eastAsia="it-IT"/>
              </w:rPr>
              <w:t>sich</w:t>
            </w:r>
            <w:r w:rsidRPr="00764C00">
              <w:rPr>
                <w:rFonts w:cs="Arial"/>
                <w:color w:val="000000"/>
                <w:lang w:val="de-DE" w:eastAsia="it-IT"/>
              </w:rPr>
              <w:t xml:space="preserve"> das Recht vor,</w:t>
            </w:r>
            <w:r w:rsidR="0031527A" w:rsidRPr="00764C00">
              <w:rPr>
                <w:rFonts w:cs="Arial"/>
                <w:color w:val="000000"/>
                <w:lang w:val="de-DE" w:eastAsia="it-IT"/>
              </w:rPr>
              <w:t xml:space="preserve"> allen oder einigen Teilnehmern Vertiefungs</w:t>
            </w:r>
            <w:r w:rsidR="00CD0557">
              <w:rPr>
                <w:rFonts w:cs="Arial"/>
                <w:bCs/>
                <w:sz w:val="24"/>
                <w:szCs w:val="16"/>
                <w:lang w:val="de-DE"/>
              </w:rPr>
              <w:softHyphen/>
            </w:r>
            <w:r w:rsidR="0031527A" w:rsidRPr="00764C00">
              <w:rPr>
                <w:rFonts w:cs="Arial"/>
                <w:color w:val="000000"/>
                <w:lang w:val="de-DE" w:eastAsia="it-IT"/>
              </w:rPr>
              <w:t>fragen zu stellen.</w:t>
            </w:r>
            <w:r w:rsidRPr="00764C00">
              <w:rPr>
                <w:rFonts w:cs="Arial"/>
                <w:color w:val="000000"/>
                <w:lang w:val="de-DE" w:eastAsia="it-IT"/>
              </w:rPr>
              <w:t xml:space="preserve"> </w:t>
            </w:r>
          </w:p>
          <w:p w14:paraId="3510C796" w14:textId="5903A536" w:rsidR="00892076" w:rsidRPr="001A1535" w:rsidRDefault="00BC5964" w:rsidP="00D264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trike/>
                <w:noProof w:val="0"/>
                <w:lang w:val="de-DE"/>
              </w:rPr>
            </w:pPr>
            <w:r>
              <w:rPr>
                <w:rFonts w:cs="Arial"/>
                <w:color w:val="000000"/>
                <w:lang w:val="de-DE" w:eastAsia="it-IT"/>
              </w:rPr>
              <w:t>Die Beteiligung</w:t>
            </w:r>
            <w:r w:rsidR="00294F2A" w:rsidRPr="00494B1D">
              <w:rPr>
                <w:rFonts w:cs="Arial"/>
                <w:color w:val="000000"/>
                <w:lang w:val="de-DE" w:eastAsia="it-IT"/>
              </w:rPr>
              <w:t xml:space="preserve"> an d</w:t>
            </w:r>
            <w:r w:rsidR="00294F2A">
              <w:rPr>
                <w:rFonts w:cs="Arial"/>
                <w:color w:val="000000"/>
                <w:lang w:val="de-DE" w:eastAsia="it-IT"/>
              </w:rPr>
              <w:t xml:space="preserve">er </w:t>
            </w:r>
            <w:r w:rsidR="00CD0557">
              <w:rPr>
                <w:rFonts w:cs="Arial"/>
                <w:color w:val="000000"/>
                <w:lang w:val="de-DE" w:eastAsia="it-IT"/>
              </w:rPr>
              <w:t>vorbereitenden</w:t>
            </w:r>
            <w:r w:rsidR="00294F2A">
              <w:rPr>
                <w:rFonts w:cs="Arial"/>
                <w:color w:val="000000"/>
                <w:lang w:val="de-DE" w:eastAsia="it-IT"/>
              </w:rPr>
              <w:t xml:space="preserve"> Marktkonsultation</w:t>
            </w:r>
            <w:r w:rsidR="00294F2A" w:rsidRPr="00494B1D">
              <w:rPr>
                <w:rFonts w:cs="Arial"/>
                <w:color w:val="000000"/>
                <w:lang w:val="de-DE" w:eastAsia="it-IT"/>
              </w:rPr>
              <w:t xml:space="preserve"> </w:t>
            </w:r>
            <w:r>
              <w:rPr>
                <w:rFonts w:cs="Arial"/>
                <w:color w:val="000000"/>
                <w:lang w:val="de-DE" w:eastAsia="it-IT"/>
              </w:rPr>
              <w:t xml:space="preserve">berechtigt nicht </w:t>
            </w:r>
            <w:r w:rsidR="00CD55FC">
              <w:rPr>
                <w:rFonts w:cs="Arial"/>
                <w:color w:val="000000"/>
                <w:lang w:val="de-DE" w:eastAsia="it-IT"/>
              </w:rPr>
              <w:t xml:space="preserve">zu </w:t>
            </w:r>
            <w:r w:rsidR="00294F2A" w:rsidRPr="00494B1D">
              <w:rPr>
                <w:rFonts w:cs="Arial"/>
                <w:color w:val="000000"/>
                <w:lang w:val="de-DE" w:eastAsia="it-IT"/>
              </w:rPr>
              <w:t xml:space="preserve">Entgelt und/oder Entschädigung. </w:t>
            </w:r>
          </w:p>
        </w:tc>
        <w:tc>
          <w:tcPr>
            <w:tcW w:w="1361" w:type="dxa"/>
          </w:tcPr>
          <w:p w14:paraId="5FC59045" w14:textId="77777777" w:rsidR="00892076" w:rsidRPr="008D1365" w:rsidRDefault="00892076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393C8B8C" w14:textId="19058735" w:rsidR="00294F2A" w:rsidRPr="008D1365" w:rsidRDefault="00294F2A" w:rsidP="00294F2A">
            <w:pPr>
              <w:numPr>
                <w:ilvl w:val="0"/>
                <w:numId w:val="17"/>
              </w:numPr>
              <w:spacing w:line="240" w:lineRule="exact"/>
              <w:ind w:left="0" w:firstLine="0"/>
              <w:contextualSpacing/>
              <w:jc w:val="both"/>
              <w:rPr>
                <w:rFonts w:cs="Arial"/>
                <w:color w:val="000000"/>
                <w:lang w:val="it-IT" w:eastAsia="it-IT"/>
              </w:rPr>
            </w:pPr>
            <w:r w:rsidRPr="008D1365">
              <w:rPr>
                <w:rFonts w:cs="Arial"/>
                <w:color w:val="000000"/>
                <w:lang w:val="it-IT" w:eastAsia="it-IT"/>
              </w:rPr>
              <w:t>La partecipazione alla consultazione preliminare di mercato è ininfluente (ossia: non assicura e non preclude</w:t>
            </w:r>
            <w:r w:rsidR="009C7621">
              <w:rPr>
                <w:rFonts w:cs="Arial"/>
                <w:color w:val="000000"/>
                <w:lang w:val="it-IT" w:eastAsia="it-IT"/>
              </w:rPr>
              <w:t xml:space="preserve">, </w:t>
            </w:r>
            <w:r w:rsidR="009C7621" w:rsidRPr="00764C00">
              <w:rPr>
                <w:rFonts w:cs="Arial"/>
                <w:color w:val="000000"/>
                <w:lang w:val="it-IT" w:eastAsia="it-IT"/>
              </w:rPr>
              <w:t>né ne deriva alcun vantaggio</w:t>
            </w:r>
            <w:r w:rsidRPr="00764C00">
              <w:rPr>
                <w:rFonts w:cs="Arial"/>
                <w:color w:val="000000"/>
                <w:lang w:val="it-IT" w:eastAsia="it-IT"/>
              </w:rPr>
              <w:t>) rispetto alla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 partecipazione successiva alla gara di appalto, non costituendo condizione di accesso, né impegno alcuno circa il prosieguo della procedura. </w:t>
            </w:r>
          </w:p>
          <w:p w14:paraId="62C24396" w14:textId="369F56E5" w:rsidR="00294F2A" w:rsidRDefault="00294F2A" w:rsidP="00294F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i/>
                <w:color w:val="000000"/>
                <w:lang w:val="it-IT" w:eastAsia="it-IT"/>
              </w:rPr>
            </w:pPr>
            <w:r w:rsidRPr="008D1365">
              <w:rPr>
                <w:rFonts w:cs="Arial"/>
                <w:color w:val="000000"/>
                <w:lang w:val="it-IT" w:eastAsia="it-IT"/>
              </w:rPr>
              <w:lastRenderedPageBreak/>
              <w:t xml:space="preserve">In particolare, </w:t>
            </w:r>
            <w:r w:rsidRPr="008D1365">
              <w:rPr>
                <w:rFonts w:cs="Arial"/>
                <w:b/>
                <w:color w:val="000000"/>
                <w:lang w:val="it-IT" w:eastAsia="it-IT"/>
              </w:rPr>
              <w:t>la partecipazione alla consultazione preliminare di mercato non determina alcuna aspettativa</w:t>
            </w:r>
            <w:r w:rsidR="008D1365">
              <w:rPr>
                <w:rFonts w:cs="Arial"/>
                <w:b/>
                <w:color w:val="000000"/>
                <w:lang w:val="it-IT" w:eastAsia="it-IT"/>
              </w:rPr>
              <w:t xml:space="preserve">, </w:t>
            </w:r>
            <w:r w:rsidRPr="008D1365">
              <w:rPr>
                <w:rFonts w:cs="Arial"/>
                <w:b/>
                <w:color w:val="000000"/>
                <w:lang w:val="it-IT" w:eastAsia="it-IT"/>
              </w:rPr>
              <w:t>nei confronti della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 </w:t>
            </w:r>
            <w:r w:rsidRPr="008D1365">
              <w:rPr>
                <w:rFonts w:cs="Arial"/>
                <w:b/>
                <w:color w:val="FF0000"/>
                <w:lang w:val="it-IT" w:eastAsia="it-IT"/>
              </w:rPr>
              <w:t>stazione appaltante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. </w:t>
            </w:r>
            <w:r w:rsidRPr="008D1365">
              <w:rPr>
                <w:rFonts w:cs="Arial"/>
                <w:b/>
                <w:color w:val="000000"/>
                <w:lang w:val="it-IT" w:eastAsia="it-IT"/>
              </w:rPr>
              <w:t xml:space="preserve">Gli interessati non possono rivendicare alcun diritto al riguardo e </w:t>
            </w:r>
            <w:r w:rsidRPr="008D1365">
              <w:rPr>
                <w:rFonts w:cs="Arial"/>
                <w:b/>
                <w:color w:val="FF0000"/>
                <w:lang w:val="it-IT" w:eastAsia="it-IT"/>
              </w:rPr>
              <w:t>la stazione appaltante</w:t>
            </w:r>
            <w:r w:rsidRPr="008D1365">
              <w:rPr>
                <w:rFonts w:cs="Arial"/>
                <w:b/>
                <w:color w:val="000000"/>
                <w:lang w:val="it-IT" w:eastAsia="it-IT"/>
              </w:rPr>
              <w:t xml:space="preserve"> si riserva di utilizzare quanto raccolto nell'ambito della consultazione preliminare di mercato per la pianificazione </w:t>
            </w:r>
            <w:r w:rsidRPr="00337B8A">
              <w:rPr>
                <w:rFonts w:cs="Arial"/>
                <w:b/>
                <w:color w:val="000000"/>
                <w:lang w:val="it-IT" w:eastAsia="it-IT"/>
              </w:rPr>
              <w:t>e lo svolgimento della procedura di appalto, nei limiti del rispetto dei diritti di proprietà intellettuale e sempre “</w:t>
            </w:r>
            <w:r w:rsidRPr="00337B8A">
              <w:rPr>
                <w:rFonts w:cs="Arial"/>
                <w:b/>
                <w:i/>
                <w:color w:val="000000"/>
                <w:lang w:val="it-IT" w:eastAsia="it-IT"/>
              </w:rPr>
              <w:t>a condizione che non comportino una violazione dei principi di non discriminazione e di trasparenza</w:t>
            </w:r>
            <w:r w:rsidRPr="008D1365">
              <w:rPr>
                <w:rFonts w:cs="Arial"/>
                <w:b/>
                <w:i/>
                <w:color w:val="000000"/>
                <w:lang w:val="it-IT" w:eastAsia="it-IT"/>
              </w:rPr>
              <w:t>”.</w:t>
            </w:r>
          </w:p>
          <w:p w14:paraId="51A7C781" w14:textId="0E95440B" w:rsidR="008D1365" w:rsidRDefault="00294F2A" w:rsidP="00294F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it-IT" w:eastAsia="it-IT"/>
              </w:rPr>
            </w:pPr>
            <w:r w:rsidRPr="008D1365">
              <w:rPr>
                <w:rFonts w:cs="Arial"/>
                <w:b/>
                <w:color w:val="FF0000"/>
                <w:lang w:val="it-IT" w:eastAsia="it-IT"/>
              </w:rPr>
              <w:t>La stazione appaltante</w:t>
            </w:r>
            <w:r w:rsidRPr="008D1365">
              <w:rPr>
                <w:rFonts w:cs="Arial"/>
                <w:color w:val="000000"/>
                <w:lang w:val="it-IT" w:eastAsia="it-IT"/>
              </w:rPr>
              <w:t xml:space="preserve"> può interrompere,</w:t>
            </w:r>
            <w:r w:rsidR="008D1365">
              <w:rPr>
                <w:rFonts w:cs="Arial"/>
                <w:color w:val="000000"/>
                <w:lang w:val="it-IT" w:eastAsia="it-IT"/>
              </w:rPr>
              <w:t xml:space="preserve"> </w:t>
            </w:r>
            <w:r w:rsidR="008D1365" w:rsidRPr="00764C00">
              <w:rPr>
                <w:rFonts w:cs="Arial"/>
                <w:color w:val="000000"/>
                <w:lang w:val="it-IT" w:eastAsia="it-IT"/>
              </w:rPr>
              <w:t>modificare, prorogare</w:t>
            </w:r>
            <w:r w:rsidR="006C43DD">
              <w:rPr>
                <w:rFonts w:cs="Arial"/>
                <w:color w:val="000000"/>
                <w:lang w:val="it-IT" w:eastAsia="it-IT"/>
              </w:rPr>
              <w:t>,</w:t>
            </w:r>
            <w:r w:rsidRPr="00764C00">
              <w:rPr>
                <w:rFonts w:cs="Arial"/>
                <w:color w:val="000000"/>
                <w:lang w:val="it-IT" w:eastAsia="it-IT"/>
              </w:rPr>
              <w:t xml:space="preserve"> sospendere o revocare la consultazione preliminare di mercato, in qualsiasi momento, </w:t>
            </w:r>
            <w:r w:rsidR="008D1365" w:rsidRPr="00764C00">
              <w:rPr>
                <w:rFonts w:cs="Arial"/>
                <w:color w:val="000000"/>
                <w:lang w:val="it-IT" w:eastAsia="it-IT"/>
              </w:rPr>
              <w:t xml:space="preserve">consentendo, a richiesta dei soggetti intervenuti, la restituzione della documentazione eventualmente depositata, senza che ciò possa costituire, in alcun </w:t>
            </w:r>
            <w:r w:rsidR="005645E6" w:rsidRPr="00764C00">
              <w:rPr>
                <w:rFonts w:cs="Arial"/>
                <w:color w:val="000000"/>
                <w:lang w:val="it-IT" w:eastAsia="it-IT"/>
              </w:rPr>
              <w:t>modo, diritto o pretesa a qualsivoglia risarcimento o indennizzo.</w:t>
            </w:r>
          </w:p>
          <w:p w14:paraId="15941BA1" w14:textId="736954FA" w:rsidR="00062411" w:rsidRDefault="00062411" w:rsidP="00294F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it-IT" w:eastAsia="it-IT"/>
              </w:rPr>
            </w:pPr>
            <w:r w:rsidRPr="00764C00">
              <w:rPr>
                <w:rFonts w:cs="Arial"/>
                <w:color w:val="000000"/>
                <w:lang w:val="it-IT" w:eastAsia="it-IT"/>
              </w:rPr>
              <w:t xml:space="preserve">La stazione appaltante si riserva </w:t>
            </w:r>
            <w:r w:rsidR="0031527A" w:rsidRPr="00764C00">
              <w:rPr>
                <w:rFonts w:cs="Arial"/>
                <w:color w:val="000000"/>
                <w:lang w:val="it-IT" w:eastAsia="it-IT"/>
              </w:rPr>
              <w:t xml:space="preserve">il diritto </w:t>
            </w:r>
            <w:r w:rsidRPr="00764C00">
              <w:rPr>
                <w:rFonts w:cs="Arial"/>
                <w:color w:val="000000"/>
                <w:lang w:val="it-IT" w:eastAsia="it-IT"/>
              </w:rPr>
              <w:t>di sottoporre a tutti o ad alcuni partecipanti domande di approfondimento.</w:t>
            </w:r>
          </w:p>
          <w:p w14:paraId="7772C87F" w14:textId="117A81FB" w:rsidR="00892076" w:rsidRPr="00674773" w:rsidRDefault="00062411" w:rsidP="00D264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noProof w:val="0"/>
                <w:lang w:val="it-IT"/>
              </w:rPr>
            </w:pPr>
            <w:r w:rsidRPr="00764C00">
              <w:rPr>
                <w:rFonts w:cs="Arial"/>
                <w:color w:val="000000"/>
                <w:lang w:val="it-IT" w:eastAsia="it-IT"/>
              </w:rPr>
              <w:t>In ogni caso, l</w:t>
            </w:r>
            <w:r w:rsidR="00294F2A" w:rsidRPr="00764C00">
              <w:rPr>
                <w:rFonts w:cs="Arial"/>
                <w:color w:val="000000"/>
                <w:lang w:val="it-IT" w:eastAsia="it-IT"/>
              </w:rPr>
              <w:t>a</w:t>
            </w:r>
            <w:r w:rsidR="00294F2A" w:rsidRPr="008D1365">
              <w:rPr>
                <w:rFonts w:cs="Arial"/>
                <w:color w:val="000000"/>
                <w:lang w:val="it-IT" w:eastAsia="it-IT"/>
              </w:rPr>
              <w:t xml:space="preserve"> partecipazione alla consultazione preliminare non dà diritto ad alcun compenso e/o rimborso. </w:t>
            </w:r>
          </w:p>
        </w:tc>
      </w:tr>
      <w:tr w:rsidR="00E81B81" w:rsidRPr="008E10B1" w14:paraId="130AF2FA" w14:textId="77777777" w:rsidTr="000D772D">
        <w:tc>
          <w:tcPr>
            <w:tcW w:w="4139" w:type="dxa"/>
          </w:tcPr>
          <w:p w14:paraId="5BDECE2A" w14:textId="77777777" w:rsidR="00E81B81" w:rsidRPr="00E81B81" w:rsidRDefault="00E81B81" w:rsidP="00E81B81">
            <w:pPr>
              <w:spacing w:line="240" w:lineRule="exact"/>
              <w:contextualSpacing/>
              <w:jc w:val="both"/>
              <w:rPr>
                <w:rFonts w:cs="Arial"/>
                <w:color w:val="000000"/>
                <w:lang w:val="it-IT" w:eastAsia="it-IT"/>
              </w:rPr>
            </w:pPr>
          </w:p>
        </w:tc>
        <w:tc>
          <w:tcPr>
            <w:tcW w:w="1361" w:type="dxa"/>
          </w:tcPr>
          <w:p w14:paraId="0D97FC26" w14:textId="77777777" w:rsidR="00E81B81" w:rsidRPr="00E81B81" w:rsidRDefault="00E81B81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1AB0FDF2" w14:textId="77777777" w:rsidR="00E81B81" w:rsidRPr="008D1365" w:rsidRDefault="00E81B81" w:rsidP="00E81B81">
            <w:pPr>
              <w:spacing w:line="240" w:lineRule="exact"/>
              <w:contextualSpacing/>
              <w:jc w:val="both"/>
              <w:rPr>
                <w:rFonts w:cs="Arial"/>
                <w:color w:val="000000"/>
                <w:lang w:val="it-IT" w:eastAsia="it-IT"/>
              </w:rPr>
            </w:pPr>
          </w:p>
        </w:tc>
      </w:tr>
      <w:tr w:rsidR="0064748F" w:rsidRPr="008E10B1" w14:paraId="7F49CA51" w14:textId="77777777" w:rsidTr="000D772D">
        <w:tc>
          <w:tcPr>
            <w:tcW w:w="4139" w:type="dxa"/>
          </w:tcPr>
          <w:p w14:paraId="0B9AE72E" w14:textId="4A196E3F" w:rsidR="0064748F" w:rsidRPr="00764C00" w:rsidRDefault="00712DFA" w:rsidP="00712DFA">
            <w:pPr>
              <w:spacing w:line="240" w:lineRule="exact"/>
              <w:contextualSpacing/>
              <w:jc w:val="both"/>
              <w:rPr>
                <w:rFonts w:cs="Arial"/>
                <w:b/>
                <w:color w:val="000000"/>
                <w:lang w:val="de-DE" w:eastAsia="it-IT"/>
              </w:rPr>
            </w:pPr>
            <w:r w:rsidRPr="00764C00">
              <w:rPr>
                <w:rFonts w:cs="Arial"/>
                <w:b/>
                <w:color w:val="000000"/>
                <w:lang w:val="de-DE" w:eastAsia="it-IT"/>
              </w:rPr>
              <w:t xml:space="preserve">9. </w:t>
            </w:r>
            <w:r w:rsidR="00CD0557" w:rsidRPr="00764C00">
              <w:rPr>
                <w:rFonts w:cs="Arial"/>
                <w:b/>
                <w:color w:val="000000"/>
                <w:lang w:val="de-DE" w:eastAsia="it-IT"/>
              </w:rPr>
              <w:t>Unvereinbarkeit</w:t>
            </w:r>
            <w:r w:rsidR="00330609">
              <w:rPr>
                <w:rFonts w:cs="Arial"/>
                <w:b/>
                <w:color w:val="000000"/>
                <w:lang w:val="de-DE" w:eastAsia="it-IT"/>
              </w:rPr>
              <w:t xml:space="preserve"> </w:t>
            </w:r>
            <w:r w:rsidR="00E044C7">
              <w:rPr>
                <w:rFonts w:cs="Arial"/>
                <w:b/>
                <w:color w:val="000000"/>
                <w:lang w:val="de-DE" w:eastAsia="it-IT"/>
              </w:rPr>
              <w:t>aufgrund der</w:t>
            </w:r>
            <w:r w:rsidR="00B34098" w:rsidRPr="00764C00">
              <w:rPr>
                <w:rFonts w:cs="Arial"/>
                <w:b/>
                <w:color w:val="000000"/>
                <w:lang w:val="de-DE" w:eastAsia="it-IT"/>
              </w:rPr>
              <w:t xml:space="preserve"> </w:t>
            </w:r>
            <w:r w:rsidR="00CD0557">
              <w:rPr>
                <w:rFonts w:cs="Arial"/>
                <w:b/>
                <w:color w:val="000000"/>
                <w:lang w:val="de-DE" w:eastAsia="it-IT"/>
              </w:rPr>
              <w:t>Teilnahme</w:t>
            </w:r>
            <w:r w:rsidR="00B34098" w:rsidRPr="00764C00">
              <w:rPr>
                <w:rFonts w:cs="Arial"/>
                <w:b/>
                <w:color w:val="000000"/>
                <w:lang w:val="de-DE" w:eastAsia="it-IT"/>
              </w:rPr>
              <w:t xml:space="preserve"> an der Marktkonsultation </w:t>
            </w:r>
          </w:p>
        </w:tc>
        <w:tc>
          <w:tcPr>
            <w:tcW w:w="1361" w:type="dxa"/>
          </w:tcPr>
          <w:p w14:paraId="50A39060" w14:textId="77777777" w:rsidR="0064748F" w:rsidRPr="00B34098" w:rsidRDefault="0064748F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2DE68359" w14:textId="2BFA6DC2" w:rsidR="0064748F" w:rsidRPr="00764C00" w:rsidRDefault="00942FCB" w:rsidP="00294F2A">
            <w:pPr>
              <w:numPr>
                <w:ilvl w:val="0"/>
                <w:numId w:val="17"/>
              </w:numPr>
              <w:spacing w:line="240" w:lineRule="exact"/>
              <w:ind w:left="0" w:firstLine="0"/>
              <w:contextualSpacing/>
              <w:jc w:val="both"/>
              <w:rPr>
                <w:rFonts w:cs="Arial"/>
                <w:b/>
                <w:color w:val="000000"/>
                <w:lang w:val="it-IT" w:eastAsia="it-IT"/>
              </w:rPr>
            </w:pPr>
            <w:r w:rsidRPr="00764C00">
              <w:rPr>
                <w:rFonts w:cs="Arial"/>
                <w:b/>
                <w:color w:val="000000"/>
                <w:lang w:val="it-IT" w:eastAsia="it-IT"/>
              </w:rPr>
              <w:t>Effetti di incompatibilità determinati dalla partecipazione alla consultazione</w:t>
            </w:r>
          </w:p>
        </w:tc>
      </w:tr>
      <w:tr w:rsidR="00892076" w:rsidRPr="008E10B1" w14:paraId="685DD0CF" w14:textId="77777777" w:rsidTr="000D772D">
        <w:tc>
          <w:tcPr>
            <w:tcW w:w="4139" w:type="dxa"/>
          </w:tcPr>
          <w:p w14:paraId="55FB2DE1" w14:textId="11087578" w:rsidR="00892076" w:rsidRPr="00764C00" w:rsidRDefault="00B44D37" w:rsidP="00275295">
            <w:pPr>
              <w:pStyle w:val="DeutscherText"/>
              <w:spacing w:line="240" w:lineRule="auto"/>
              <w:ind w:right="78"/>
              <w:rPr>
                <w:noProof w:val="0"/>
                <w:lang w:val="de-DE"/>
              </w:rPr>
            </w:pPr>
            <w:r w:rsidRPr="00764C00">
              <w:rPr>
                <w:noProof w:val="0"/>
                <w:lang w:val="de-DE"/>
              </w:rPr>
              <w:t>Die Vergabestelle</w:t>
            </w:r>
            <w:r w:rsidR="00AC425C" w:rsidRPr="00764C00">
              <w:rPr>
                <w:noProof w:val="0"/>
                <w:lang w:val="de-DE"/>
              </w:rPr>
              <w:t xml:space="preserve"> schließt </w:t>
            </w:r>
            <w:r w:rsidR="00BC5964">
              <w:rPr>
                <w:noProof w:val="0"/>
                <w:lang w:val="de-DE"/>
              </w:rPr>
              <w:t>die</w:t>
            </w:r>
            <w:r w:rsidR="00277435">
              <w:rPr>
                <w:noProof w:val="0"/>
                <w:lang w:val="de-DE"/>
              </w:rPr>
              <w:t xml:space="preserve"> an der vorbereitenden Marktkonsultation Beteiligten</w:t>
            </w:r>
            <w:r w:rsidR="00AC425C" w:rsidRPr="00764C00">
              <w:rPr>
                <w:noProof w:val="0"/>
                <w:lang w:val="de-DE"/>
              </w:rPr>
              <w:t xml:space="preserve"> von der eventuell anschließenden Ausschreibung nur aus, </w:t>
            </w:r>
            <w:r w:rsidR="009909AE">
              <w:rPr>
                <w:noProof w:val="0"/>
                <w:lang w:val="de-DE"/>
              </w:rPr>
              <w:t>wenn es</w:t>
            </w:r>
            <w:r w:rsidR="00AC425C" w:rsidRPr="00764C00">
              <w:rPr>
                <w:noProof w:val="0"/>
                <w:lang w:val="de-DE"/>
              </w:rPr>
              <w:t xml:space="preserve"> </w:t>
            </w:r>
            <w:r w:rsidR="008355FD" w:rsidRPr="00764C00">
              <w:rPr>
                <w:noProof w:val="0"/>
                <w:lang w:val="de-DE"/>
              </w:rPr>
              <w:t>keine andere</w:t>
            </w:r>
            <w:r w:rsidR="00330609">
              <w:rPr>
                <w:noProof w:val="0"/>
                <w:lang w:val="de-DE"/>
              </w:rPr>
              <w:t>n</w:t>
            </w:r>
            <w:r w:rsidR="00AC425C" w:rsidRPr="00764C00">
              <w:rPr>
                <w:noProof w:val="0"/>
                <w:lang w:val="de-DE"/>
              </w:rPr>
              <w:t xml:space="preserve"> Mittel </w:t>
            </w:r>
            <w:r w:rsidR="009909AE">
              <w:rPr>
                <w:noProof w:val="0"/>
                <w:lang w:val="de-DE"/>
              </w:rPr>
              <w:t xml:space="preserve">gibt, um </w:t>
            </w:r>
            <w:r w:rsidR="00330609">
              <w:rPr>
                <w:noProof w:val="0"/>
                <w:lang w:val="de-DE"/>
              </w:rPr>
              <w:t>die</w:t>
            </w:r>
            <w:r w:rsidR="008355FD" w:rsidRPr="00764C00">
              <w:rPr>
                <w:noProof w:val="0"/>
                <w:lang w:val="de-DE"/>
              </w:rPr>
              <w:t xml:space="preserve"> Einhalt</w:t>
            </w:r>
            <w:r w:rsidR="00330609">
              <w:rPr>
                <w:noProof w:val="0"/>
                <w:lang w:val="de-DE"/>
              </w:rPr>
              <w:t>ung</w:t>
            </w:r>
            <w:r w:rsidR="008355FD" w:rsidRPr="00764C00">
              <w:rPr>
                <w:noProof w:val="0"/>
                <w:lang w:val="de-DE"/>
              </w:rPr>
              <w:t xml:space="preserve"> des </w:t>
            </w:r>
            <w:r w:rsidR="003B429A" w:rsidRPr="00764C00">
              <w:rPr>
                <w:noProof w:val="0"/>
                <w:lang w:val="de-DE"/>
              </w:rPr>
              <w:t>Gleichbehandlung</w:t>
            </w:r>
            <w:r w:rsidR="00330609">
              <w:rPr>
                <w:noProof w:val="0"/>
                <w:lang w:val="de-DE"/>
              </w:rPr>
              <w:t>sprinzips</w:t>
            </w:r>
            <w:r w:rsidR="003B429A" w:rsidRPr="00764C00">
              <w:rPr>
                <w:noProof w:val="0"/>
                <w:lang w:val="de-DE"/>
              </w:rPr>
              <w:t xml:space="preserve"> </w:t>
            </w:r>
            <w:r w:rsidR="009909AE">
              <w:rPr>
                <w:noProof w:val="0"/>
                <w:lang w:val="de-DE"/>
              </w:rPr>
              <w:t xml:space="preserve">zu </w:t>
            </w:r>
            <w:r w:rsidR="003B429A" w:rsidRPr="00764C00">
              <w:rPr>
                <w:noProof w:val="0"/>
                <w:lang w:val="de-DE"/>
              </w:rPr>
              <w:t>gewährleisten</w:t>
            </w:r>
            <w:r w:rsidR="00330609">
              <w:rPr>
                <w:noProof w:val="0"/>
                <w:lang w:val="de-DE"/>
              </w:rPr>
              <w:t>.</w:t>
            </w:r>
          </w:p>
          <w:p w14:paraId="6DDA1535" w14:textId="608607F2" w:rsidR="003B429A" w:rsidRPr="00764C00" w:rsidRDefault="003B429A" w:rsidP="00275295">
            <w:pPr>
              <w:pStyle w:val="DeutscherText"/>
              <w:spacing w:line="240" w:lineRule="auto"/>
              <w:ind w:right="78"/>
              <w:rPr>
                <w:noProof w:val="0"/>
                <w:lang w:val="de-DE"/>
              </w:rPr>
            </w:pPr>
            <w:r w:rsidRPr="00764C00">
              <w:rPr>
                <w:noProof w:val="0"/>
                <w:lang w:val="de-DE"/>
              </w:rPr>
              <w:t>Bevor die Vergabestelle die Aus</w:t>
            </w:r>
            <w:r w:rsidR="00801CD6" w:rsidRPr="00764C00">
              <w:rPr>
                <w:noProof w:val="0"/>
                <w:lang w:val="de-DE"/>
              </w:rPr>
              <w:t>s</w:t>
            </w:r>
            <w:r w:rsidRPr="00764C00">
              <w:rPr>
                <w:noProof w:val="0"/>
                <w:lang w:val="de-DE"/>
              </w:rPr>
              <w:t xml:space="preserve">chlussmaßnahme erlässt, </w:t>
            </w:r>
            <w:r w:rsidR="00E044C7">
              <w:rPr>
                <w:noProof w:val="0"/>
                <w:lang w:val="de-DE"/>
              </w:rPr>
              <w:t>fordert</w:t>
            </w:r>
            <w:r w:rsidRPr="00764C00">
              <w:rPr>
                <w:noProof w:val="0"/>
                <w:lang w:val="de-DE"/>
              </w:rPr>
              <w:t xml:space="preserve"> sie </w:t>
            </w:r>
            <w:r w:rsidR="00801CD6" w:rsidRPr="00764C00">
              <w:rPr>
                <w:noProof w:val="0"/>
                <w:lang w:val="de-DE"/>
              </w:rPr>
              <w:t xml:space="preserve">die Bewerber und Bieter </w:t>
            </w:r>
            <w:r w:rsidR="00E044C7">
              <w:rPr>
                <w:noProof w:val="0"/>
                <w:lang w:val="de-DE"/>
              </w:rPr>
              <w:t>auf</w:t>
            </w:r>
            <w:r w:rsidR="00801CD6" w:rsidRPr="00764C00">
              <w:rPr>
                <w:noProof w:val="0"/>
                <w:lang w:val="de-DE"/>
              </w:rPr>
              <w:t xml:space="preserve">, binnen einer Frist von höchstens zehn Tagen </w:t>
            </w:r>
            <w:r w:rsidR="00AB5B63">
              <w:rPr>
                <w:noProof w:val="0"/>
                <w:lang w:val="de-DE"/>
              </w:rPr>
              <w:t>nachzuweisen</w:t>
            </w:r>
            <w:r w:rsidR="00801CD6" w:rsidRPr="00764C00">
              <w:rPr>
                <w:noProof w:val="0"/>
                <w:lang w:val="de-DE"/>
              </w:rPr>
              <w:t xml:space="preserve">, dass ihre </w:t>
            </w:r>
            <w:r w:rsidR="00AB5B63">
              <w:rPr>
                <w:noProof w:val="0"/>
                <w:lang w:val="de-DE"/>
              </w:rPr>
              <w:t>Beteiligung</w:t>
            </w:r>
            <w:r w:rsidR="00801CD6" w:rsidRPr="00764C00">
              <w:rPr>
                <w:noProof w:val="0"/>
                <w:lang w:val="de-DE"/>
              </w:rPr>
              <w:t xml:space="preserve"> am Vergabeverfahren </w:t>
            </w:r>
            <w:r w:rsidR="00277435">
              <w:rPr>
                <w:noProof w:val="0"/>
                <w:lang w:val="de-DE"/>
              </w:rPr>
              <w:t>den</w:t>
            </w:r>
            <w:r w:rsidR="00801CD6" w:rsidRPr="00764C00">
              <w:rPr>
                <w:noProof w:val="0"/>
                <w:lang w:val="de-DE"/>
              </w:rPr>
              <w:t xml:space="preserve"> Wettbewerb</w:t>
            </w:r>
            <w:r w:rsidR="00277435">
              <w:rPr>
                <w:noProof w:val="0"/>
                <w:lang w:val="de-DE"/>
              </w:rPr>
              <w:t xml:space="preserve"> nicht verzerrt</w:t>
            </w:r>
            <w:r w:rsidR="00801CD6" w:rsidRPr="00764C00">
              <w:rPr>
                <w:noProof w:val="0"/>
                <w:lang w:val="de-DE"/>
              </w:rPr>
              <w:t xml:space="preserve">. </w:t>
            </w:r>
          </w:p>
          <w:p w14:paraId="76604397" w14:textId="32508496" w:rsidR="003B429A" w:rsidRPr="00764C00" w:rsidRDefault="003B429A" w:rsidP="00275295">
            <w:pPr>
              <w:pStyle w:val="DeutscherText"/>
              <w:spacing w:line="240" w:lineRule="auto"/>
              <w:ind w:right="78"/>
              <w:rPr>
                <w:noProof w:val="0"/>
                <w:lang w:val="de-DE"/>
              </w:rPr>
            </w:pPr>
          </w:p>
        </w:tc>
        <w:tc>
          <w:tcPr>
            <w:tcW w:w="1361" w:type="dxa"/>
          </w:tcPr>
          <w:p w14:paraId="660DED7E" w14:textId="77777777" w:rsidR="00892076" w:rsidRPr="00AC425C" w:rsidRDefault="00892076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4F6FC766" w14:textId="40C45D91" w:rsidR="00942FCB" w:rsidRPr="00764C00" w:rsidRDefault="00942FCB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764C00">
              <w:rPr>
                <w:rFonts w:cs="Arial"/>
                <w:noProof w:val="0"/>
                <w:lang w:val="it-IT"/>
              </w:rPr>
              <w:t xml:space="preserve">La stazione appaltante procede ad escludere dall’eventuale successiva </w:t>
            </w:r>
            <w:r w:rsidR="009C7621" w:rsidRPr="00764C00">
              <w:rPr>
                <w:rFonts w:cs="Arial"/>
                <w:noProof w:val="0"/>
                <w:lang w:val="it-IT"/>
              </w:rPr>
              <w:t>gara d’appalto</w:t>
            </w:r>
            <w:r w:rsidRPr="00764C00">
              <w:rPr>
                <w:rFonts w:cs="Arial"/>
                <w:noProof w:val="0"/>
                <w:lang w:val="it-IT"/>
              </w:rPr>
              <w:t xml:space="preserve"> il concorrente che ha partecipato alla consultazione preliminare, solo nel caso in cui non vi siano altri mezzi per garantire il rispetto del principio di parità di trattamento.</w:t>
            </w:r>
          </w:p>
          <w:p w14:paraId="3F5CDB82" w14:textId="35430A9D" w:rsidR="00892076" w:rsidRPr="00764C00" w:rsidRDefault="00942FCB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 w:rsidRPr="00764C00">
              <w:rPr>
                <w:rFonts w:cs="Arial"/>
                <w:noProof w:val="0"/>
                <w:lang w:val="it-IT"/>
              </w:rPr>
              <w:t xml:space="preserve">Prima di adottare il provvedimento di esclusione, la stazione appaltante invita </w:t>
            </w:r>
            <w:r w:rsidR="0025070C" w:rsidRPr="00764C00">
              <w:rPr>
                <w:rFonts w:cs="Arial"/>
                <w:noProof w:val="0"/>
                <w:lang w:val="it-IT"/>
              </w:rPr>
              <w:t>i candidati e gli offerenti entro un termine non superiore a dieci giorni, a provare che la loro partecipazione alla procedura di aggiudicazione non costituisce causa di alterazione della concorrenza.</w:t>
            </w:r>
            <w:r w:rsidRPr="00764C00">
              <w:rPr>
                <w:rFonts w:cs="Arial"/>
                <w:noProof w:val="0"/>
                <w:lang w:val="it-IT"/>
              </w:rPr>
              <w:t xml:space="preserve"> </w:t>
            </w:r>
          </w:p>
        </w:tc>
      </w:tr>
      <w:tr w:rsidR="0025070C" w:rsidRPr="008E10B1" w14:paraId="33C95870" w14:textId="77777777" w:rsidTr="000D772D">
        <w:tc>
          <w:tcPr>
            <w:tcW w:w="4139" w:type="dxa"/>
          </w:tcPr>
          <w:p w14:paraId="305630C7" w14:textId="77777777" w:rsidR="0025070C" w:rsidRPr="00674773" w:rsidRDefault="0025070C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759A135D" w14:textId="77777777" w:rsidR="0025070C" w:rsidRPr="00674773" w:rsidRDefault="0025070C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32E5C528" w14:textId="50A8C182" w:rsidR="0025070C" w:rsidRPr="0025070C" w:rsidRDefault="0025070C" w:rsidP="00CC2ED7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lang w:val="it-IT"/>
              </w:rPr>
            </w:pPr>
          </w:p>
        </w:tc>
      </w:tr>
      <w:tr w:rsidR="00942FCB" w:rsidRPr="008E10B1" w14:paraId="7E68F1C0" w14:textId="77777777" w:rsidTr="000D772D">
        <w:tc>
          <w:tcPr>
            <w:tcW w:w="4139" w:type="dxa"/>
          </w:tcPr>
          <w:p w14:paraId="5BEB1534" w14:textId="77777777" w:rsidR="00942FCB" w:rsidRPr="00942FCB" w:rsidRDefault="00942FCB" w:rsidP="00275295">
            <w:pPr>
              <w:pStyle w:val="DeutscherText"/>
              <w:spacing w:line="240" w:lineRule="auto"/>
              <w:ind w:right="78"/>
              <w:rPr>
                <w:rFonts w:cs="Arial"/>
                <w:color w:val="000000"/>
                <w:lang w:val="it-IT" w:eastAsia="it-IT"/>
              </w:rPr>
            </w:pPr>
          </w:p>
        </w:tc>
        <w:tc>
          <w:tcPr>
            <w:tcW w:w="1361" w:type="dxa"/>
          </w:tcPr>
          <w:p w14:paraId="64995623" w14:textId="77777777" w:rsidR="00942FCB" w:rsidRPr="00674773" w:rsidRDefault="00942FCB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698A6C48" w14:textId="77777777" w:rsidR="00942FCB" w:rsidRPr="00942FCB" w:rsidRDefault="00942FCB" w:rsidP="00CC2ED7">
            <w:pPr>
              <w:widowControl w:val="0"/>
              <w:ind w:right="79"/>
              <w:jc w:val="both"/>
              <w:rPr>
                <w:rFonts w:cs="Arial"/>
                <w:color w:val="000000"/>
                <w:lang w:val="it-IT" w:eastAsia="it-IT"/>
              </w:rPr>
            </w:pPr>
          </w:p>
        </w:tc>
      </w:tr>
      <w:tr w:rsidR="00892076" w:rsidRPr="00A56E6A" w14:paraId="16E621BF" w14:textId="77777777" w:rsidTr="000D772D">
        <w:tc>
          <w:tcPr>
            <w:tcW w:w="4139" w:type="dxa"/>
          </w:tcPr>
          <w:p w14:paraId="72207315" w14:textId="77777777" w:rsidR="00892076" w:rsidRPr="00674773" w:rsidRDefault="00300EF7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  <w:r>
              <w:rPr>
                <w:rFonts w:cs="Arial"/>
                <w:color w:val="000000"/>
                <w:lang w:val="de-DE" w:eastAsia="it-IT"/>
              </w:rPr>
              <w:t xml:space="preserve">Die </w:t>
            </w:r>
            <w:r w:rsidRPr="00494B1D">
              <w:rPr>
                <w:rFonts w:cs="Arial"/>
                <w:color w:val="000000"/>
                <w:lang w:val="de-DE" w:eastAsia="it-IT"/>
              </w:rPr>
              <w:t>Direktion</w:t>
            </w:r>
          </w:p>
        </w:tc>
        <w:tc>
          <w:tcPr>
            <w:tcW w:w="1361" w:type="dxa"/>
          </w:tcPr>
          <w:p w14:paraId="61EBDD52" w14:textId="77777777" w:rsidR="00892076" w:rsidRPr="00674773" w:rsidRDefault="00892076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309673D3" w14:textId="77777777" w:rsidR="00892076" w:rsidRPr="00674773" w:rsidRDefault="00300EF7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  <w:r>
              <w:rPr>
                <w:rFonts w:cs="Arial"/>
                <w:color w:val="000000"/>
                <w:lang w:eastAsia="it-IT"/>
              </w:rPr>
              <w:t>La Direzione</w:t>
            </w:r>
          </w:p>
        </w:tc>
      </w:tr>
      <w:tr w:rsidR="00892076" w:rsidRPr="00A56E6A" w14:paraId="2D2BD913" w14:textId="77777777" w:rsidTr="000D772D">
        <w:tc>
          <w:tcPr>
            <w:tcW w:w="4139" w:type="dxa"/>
          </w:tcPr>
          <w:p w14:paraId="15A969CA" w14:textId="77777777" w:rsidR="00892076" w:rsidRPr="00674773" w:rsidRDefault="00892076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1F4C3636" w14:textId="77777777" w:rsidR="00892076" w:rsidRPr="00674773" w:rsidRDefault="00892076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49C88890" w14:textId="77777777" w:rsidR="00892076" w:rsidRPr="00674773" w:rsidRDefault="00892076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892076" w:rsidRPr="00A56E6A" w14:paraId="2E9F4C17" w14:textId="77777777" w:rsidTr="000D772D">
        <w:tc>
          <w:tcPr>
            <w:tcW w:w="4139" w:type="dxa"/>
          </w:tcPr>
          <w:p w14:paraId="5D4C17ED" w14:textId="77777777" w:rsidR="00892076" w:rsidRPr="00674773" w:rsidRDefault="00892076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4B3EB44A" w14:textId="77777777" w:rsidR="00892076" w:rsidRPr="00674773" w:rsidRDefault="00892076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3F9768E1" w14:textId="77777777" w:rsidR="00892076" w:rsidRPr="00674773" w:rsidRDefault="00892076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892076" w:rsidRPr="00A56E6A" w14:paraId="24B2A30B" w14:textId="77777777" w:rsidTr="000D772D">
        <w:tc>
          <w:tcPr>
            <w:tcW w:w="4139" w:type="dxa"/>
          </w:tcPr>
          <w:p w14:paraId="3036EBB8" w14:textId="77777777" w:rsidR="00300EF7" w:rsidRPr="00494B1D" w:rsidRDefault="00300EF7" w:rsidP="00300E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de-DE" w:eastAsia="it-IT"/>
              </w:rPr>
            </w:pPr>
            <w:r w:rsidRPr="00494B1D">
              <w:rPr>
                <w:rFonts w:cs="Arial"/>
                <w:b/>
                <w:color w:val="000000"/>
                <w:lang w:val="de-DE" w:eastAsia="it-IT"/>
              </w:rPr>
              <w:t>Anlagen:</w:t>
            </w:r>
          </w:p>
          <w:p w14:paraId="45FDB1C2" w14:textId="77777777" w:rsidR="00300EF7" w:rsidRPr="00494B1D" w:rsidRDefault="00300EF7" w:rsidP="00300E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de-DE" w:eastAsia="it-IT"/>
              </w:rPr>
            </w:pPr>
            <w:r w:rsidRPr="00494B1D">
              <w:rPr>
                <w:rFonts w:cs="Arial"/>
                <w:color w:val="000000"/>
                <w:lang w:val="de-DE" w:eastAsia="it-IT"/>
              </w:rPr>
              <w:t>Anl</w:t>
            </w:r>
            <w:r>
              <w:rPr>
                <w:rFonts w:cs="Arial"/>
                <w:color w:val="000000"/>
                <w:lang w:val="de-DE" w:eastAsia="it-IT"/>
              </w:rPr>
              <w:t xml:space="preserve">age 1 – Allgemeine Angaben zur </w:t>
            </w:r>
            <w:r w:rsidRPr="00494B1D">
              <w:rPr>
                <w:rFonts w:cs="Arial"/>
                <w:color w:val="000000"/>
                <w:lang w:val="de-DE" w:eastAsia="it-IT"/>
              </w:rPr>
              <w:t>vorherigen Marktkonsultation</w:t>
            </w:r>
          </w:p>
          <w:p w14:paraId="309936FE" w14:textId="77777777" w:rsidR="00892076" w:rsidRPr="00300EF7" w:rsidRDefault="00300EF7" w:rsidP="00300E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de-DE" w:eastAsia="it-IT"/>
              </w:rPr>
            </w:pPr>
            <w:r w:rsidRPr="00494B1D">
              <w:rPr>
                <w:rFonts w:cs="Arial"/>
                <w:color w:val="000000"/>
                <w:lang w:val="de-DE" w:eastAsia="it-IT"/>
              </w:rPr>
              <w:t>Anlage 2 – Interessensbekundung</w:t>
            </w:r>
          </w:p>
        </w:tc>
        <w:tc>
          <w:tcPr>
            <w:tcW w:w="1361" w:type="dxa"/>
          </w:tcPr>
          <w:p w14:paraId="00DF8E1C" w14:textId="77777777" w:rsidR="00892076" w:rsidRPr="00674773" w:rsidRDefault="00892076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1B5B87DD" w14:textId="77777777" w:rsidR="00300EF7" w:rsidRPr="00337B8A" w:rsidRDefault="00300EF7" w:rsidP="00300E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color w:val="000000"/>
                <w:lang w:val="it-IT" w:eastAsia="it-IT"/>
              </w:rPr>
            </w:pPr>
            <w:r w:rsidRPr="00337B8A">
              <w:rPr>
                <w:rFonts w:cs="Arial"/>
                <w:b/>
                <w:color w:val="000000"/>
                <w:lang w:val="it-IT" w:eastAsia="it-IT"/>
              </w:rPr>
              <w:t>Allegati:</w:t>
            </w:r>
          </w:p>
          <w:p w14:paraId="2177EBE6" w14:textId="77777777" w:rsidR="00300EF7" w:rsidRPr="00337B8A" w:rsidRDefault="00300EF7" w:rsidP="00300E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it-IT" w:eastAsia="it-IT"/>
              </w:rPr>
            </w:pPr>
            <w:r w:rsidRPr="00337B8A">
              <w:rPr>
                <w:rFonts w:cs="Arial"/>
                <w:color w:val="000000"/>
                <w:lang w:val="it-IT" w:eastAsia="it-IT"/>
              </w:rPr>
              <w:t>Allegato 1 – Caratteristiche generali per la consultazione preliminare di mercato</w:t>
            </w:r>
          </w:p>
          <w:p w14:paraId="10A1A7E4" w14:textId="77777777" w:rsidR="00892076" w:rsidRPr="00337B8A" w:rsidRDefault="00300EF7" w:rsidP="00300E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eastAsia="it-IT"/>
              </w:rPr>
            </w:pPr>
            <w:r w:rsidRPr="00337B8A">
              <w:rPr>
                <w:rFonts w:cs="Arial"/>
                <w:color w:val="000000"/>
                <w:lang w:eastAsia="it-IT"/>
              </w:rPr>
              <w:t>Allegato 2 – Manifestazione di interesse</w:t>
            </w:r>
          </w:p>
        </w:tc>
      </w:tr>
      <w:tr w:rsidR="00300EF7" w:rsidRPr="00A56E6A" w14:paraId="70EA146E" w14:textId="77777777" w:rsidTr="000D772D">
        <w:tc>
          <w:tcPr>
            <w:tcW w:w="4139" w:type="dxa"/>
          </w:tcPr>
          <w:p w14:paraId="7425AA95" w14:textId="77777777" w:rsidR="00300EF7" w:rsidRPr="00674773" w:rsidRDefault="00300EF7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640E068F" w14:textId="77777777" w:rsidR="00300EF7" w:rsidRPr="00674773" w:rsidRDefault="00300EF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091E77E4" w14:textId="77777777" w:rsidR="00300EF7" w:rsidRPr="00337B8A" w:rsidRDefault="00300EF7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300EF7" w:rsidRPr="00A56E6A" w14:paraId="003DC5B9" w14:textId="77777777" w:rsidTr="000D772D">
        <w:tc>
          <w:tcPr>
            <w:tcW w:w="4139" w:type="dxa"/>
          </w:tcPr>
          <w:p w14:paraId="7303FD7F" w14:textId="77777777" w:rsidR="00300EF7" w:rsidRPr="00674773" w:rsidRDefault="00300EF7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7B20EE30" w14:textId="77777777" w:rsidR="00300EF7" w:rsidRPr="00674773" w:rsidRDefault="00300EF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395EADC9" w14:textId="77777777" w:rsidR="00300EF7" w:rsidRPr="00674773" w:rsidRDefault="00300EF7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300EF7" w:rsidRPr="00A56E6A" w14:paraId="4C1BC4B3" w14:textId="77777777" w:rsidTr="000D772D">
        <w:tc>
          <w:tcPr>
            <w:tcW w:w="4139" w:type="dxa"/>
          </w:tcPr>
          <w:p w14:paraId="5CD70B8B" w14:textId="77777777" w:rsidR="00300EF7" w:rsidRPr="00674773" w:rsidRDefault="00300EF7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40E2BC53" w14:textId="77777777" w:rsidR="00300EF7" w:rsidRPr="00674773" w:rsidRDefault="00300EF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555F826F" w14:textId="77777777" w:rsidR="00300EF7" w:rsidRPr="00674773" w:rsidRDefault="00300EF7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300EF7" w:rsidRPr="008E10B1" w14:paraId="39622293" w14:textId="77777777" w:rsidTr="000D772D">
        <w:tc>
          <w:tcPr>
            <w:tcW w:w="4139" w:type="dxa"/>
          </w:tcPr>
          <w:p w14:paraId="14A15403" w14:textId="4109A35A" w:rsidR="00300EF7" w:rsidRPr="001C417B" w:rsidRDefault="00ED5A68" w:rsidP="00E044C7">
            <w:pPr>
              <w:pStyle w:val="DeutscherText"/>
              <w:widowControl w:val="0"/>
              <w:spacing w:line="240" w:lineRule="auto"/>
              <w:ind w:right="79"/>
              <w:rPr>
                <w:i/>
                <w:noProof w:val="0"/>
                <w:color w:val="00B050"/>
                <w:lang w:val="de-DE"/>
              </w:rPr>
            </w:pPr>
            <w:r w:rsidRPr="001C417B">
              <w:rPr>
                <w:i/>
                <w:noProof w:val="0"/>
                <w:color w:val="00B050"/>
                <w:lang w:val="de-DE"/>
              </w:rPr>
              <w:t>ANMERKUN</w:t>
            </w:r>
            <w:r w:rsidR="00B94166" w:rsidRPr="001C417B">
              <w:rPr>
                <w:i/>
                <w:noProof w:val="0"/>
                <w:color w:val="00B050"/>
                <w:lang w:val="de-DE"/>
              </w:rPr>
              <w:t>EN</w:t>
            </w:r>
            <w:r w:rsidR="003A7312" w:rsidRPr="001C417B">
              <w:rPr>
                <w:i/>
                <w:noProof w:val="0"/>
                <w:color w:val="00B050"/>
                <w:lang w:val="de-DE"/>
              </w:rPr>
              <w:t xml:space="preserve"> (zu löschen)</w:t>
            </w:r>
            <w:r w:rsidRPr="001C417B">
              <w:rPr>
                <w:i/>
                <w:noProof w:val="0"/>
                <w:color w:val="00B050"/>
                <w:lang w:val="de-DE"/>
              </w:rPr>
              <w:t>:</w:t>
            </w:r>
          </w:p>
          <w:p w14:paraId="0DC96414" w14:textId="3CACB9FC" w:rsidR="00ED5A68" w:rsidRPr="001C417B" w:rsidRDefault="00ED5A68" w:rsidP="00E044C7">
            <w:pPr>
              <w:pStyle w:val="DeutscherText"/>
              <w:widowControl w:val="0"/>
              <w:spacing w:line="240" w:lineRule="auto"/>
              <w:ind w:right="79"/>
              <w:rPr>
                <w:i/>
                <w:noProof w:val="0"/>
                <w:color w:val="00B050"/>
                <w:lang w:val="de-DE"/>
              </w:rPr>
            </w:pPr>
            <w:r w:rsidRPr="001C417B">
              <w:rPr>
                <w:i/>
                <w:noProof w:val="0"/>
                <w:color w:val="00B050"/>
                <w:lang w:val="de-DE"/>
              </w:rPr>
              <w:t xml:space="preserve">Es wird darauf hingewiesen, dass </w:t>
            </w:r>
            <w:r w:rsidR="00DF40A3" w:rsidRPr="001C417B">
              <w:rPr>
                <w:b/>
                <w:i/>
                <w:noProof w:val="0"/>
                <w:color w:val="00B050"/>
                <w:lang w:val="de-DE"/>
              </w:rPr>
              <w:t>der EVV</w:t>
            </w:r>
            <w:r w:rsidR="00DF40A3" w:rsidRPr="001C417B">
              <w:rPr>
                <w:i/>
                <w:noProof w:val="0"/>
                <w:color w:val="00B050"/>
                <w:lang w:val="de-DE"/>
              </w:rPr>
              <w:t xml:space="preserve"> </w:t>
            </w:r>
            <w:r w:rsidR="00E044C7" w:rsidRPr="001C417B">
              <w:rPr>
                <w:i/>
                <w:noProof w:val="0"/>
                <w:color w:val="00B050"/>
                <w:lang w:val="de-DE"/>
              </w:rPr>
              <w:t>bei</w:t>
            </w:r>
            <w:r w:rsidR="00BC5964" w:rsidRPr="001C417B">
              <w:rPr>
                <w:i/>
                <w:noProof w:val="0"/>
                <w:color w:val="00B050"/>
                <w:lang w:val="de-DE"/>
              </w:rPr>
              <w:t xml:space="preserve"> Abschluss</w:t>
            </w:r>
            <w:r w:rsidRPr="001C417B">
              <w:rPr>
                <w:i/>
                <w:noProof w:val="0"/>
                <w:color w:val="00B050"/>
                <w:lang w:val="de-DE"/>
              </w:rPr>
              <w:t xml:space="preserve"> der vorherigen Marktkonsultation </w:t>
            </w:r>
            <w:r w:rsidR="00276138" w:rsidRPr="001C417B">
              <w:rPr>
                <w:b/>
                <w:i/>
                <w:noProof w:val="0"/>
                <w:color w:val="00B050"/>
                <w:lang w:val="de-DE"/>
              </w:rPr>
              <w:t xml:space="preserve">in einem </w:t>
            </w:r>
            <w:r w:rsidR="00DF40A3" w:rsidRPr="001C417B">
              <w:rPr>
                <w:b/>
                <w:i/>
                <w:noProof w:val="0"/>
                <w:color w:val="00B050"/>
                <w:lang w:val="de-DE"/>
              </w:rPr>
              <w:t xml:space="preserve">eigenen </w:t>
            </w:r>
            <w:r w:rsidR="009A3EF4" w:rsidRPr="001C417B">
              <w:rPr>
                <w:b/>
                <w:i/>
                <w:noProof w:val="0"/>
                <w:color w:val="00B050"/>
                <w:lang w:val="de-DE"/>
              </w:rPr>
              <w:t xml:space="preserve">Akt </w:t>
            </w:r>
            <w:r w:rsidR="00276138" w:rsidRPr="001C417B">
              <w:rPr>
                <w:b/>
                <w:i/>
                <w:noProof w:val="0"/>
                <w:color w:val="00B050"/>
                <w:lang w:val="de-DE"/>
              </w:rPr>
              <w:t>oder im Vergabever</w:t>
            </w:r>
            <w:r w:rsidR="009A3EF4" w:rsidRPr="001C417B">
              <w:rPr>
                <w:b/>
                <w:i/>
                <w:noProof w:val="0"/>
                <w:color w:val="00B050"/>
                <w:lang w:val="de-DE"/>
              </w:rPr>
              <w:t>me</w:t>
            </w:r>
            <w:r w:rsidR="00276138" w:rsidRPr="001C417B">
              <w:rPr>
                <w:b/>
                <w:i/>
                <w:noProof w:val="0"/>
                <w:color w:val="00B050"/>
                <w:lang w:val="de-DE"/>
              </w:rPr>
              <w:t>r</w:t>
            </w:r>
            <w:r w:rsidR="009A3EF4" w:rsidRPr="001C417B">
              <w:rPr>
                <w:b/>
                <w:i/>
                <w:noProof w:val="0"/>
                <w:color w:val="00B050"/>
                <w:lang w:val="de-DE"/>
              </w:rPr>
              <w:t>k</w:t>
            </w:r>
            <w:r w:rsidR="00276138" w:rsidRPr="001C417B">
              <w:rPr>
                <w:b/>
                <w:i/>
                <w:noProof w:val="0"/>
                <w:color w:val="00B050"/>
                <w:lang w:val="de-DE"/>
              </w:rPr>
              <w:t xml:space="preserve"> die </w:t>
            </w:r>
            <w:r w:rsidR="00BC5964" w:rsidRPr="001C417B">
              <w:rPr>
                <w:b/>
                <w:i/>
                <w:noProof w:val="0"/>
                <w:color w:val="00B050"/>
                <w:lang w:val="de-DE"/>
              </w:rPr>
              <w:t>Gründe</w:t>
            </w:r>
            <w:r w:rsidR="00276138" w:rsidRPr="001C417B">
              <w:rPr>
                <w:i/>
                <w:noProof w:val="0"/>
                <w:color w:val="00B050"/>
                <w:lang w:val="de-DE"/>
              </w:rPr>
              <w:t xml:space="preserve"> </w:t>
            </w:r>
            <w:r w:rsidR="009805E5" w:rsidRPr="001C417B">
              <w:rPr>
                <w:i/>
                <w:noProof w:val="0"/>
                <w:color w:val="00B050"/>
                <w:lang w:val="de-DE"/>
              </w:rPr>
              <w:t>für die</w:t>
            </w:r>
            <w:r w:rsidR="001E3B91" w:rsidRPr="001C417B">
              <w:rPr>
                <w:i/>
                <w:noProof w:val="0"/>
                <w:color w:val="00B050"/>
                <w:lang w:val="de-DE"/>
              </w:rPr>
              <w:t xml:space="preserve"> </w:t>
            </w:r>
            <w:r w:rsidR="00DF40A3" w:rsidRPr="001C417B">
              <w:rPr>
                <w:i/>
                <w:noProof w:val="0"/>
                <w:color w:val="00B050"/>
                <w:lang w:val="de-DE"/>
              </w:rPr>
              <w:t>Entscheidungen</w:t>
            </w:r>
            <w:r w:rsidR="001E3B91" w:rsidRPr="001C417B">
              <w:rPr>
                <w:i/>
                <w:noProof w:val="0"/>
                <w:color w:val="00B050"/>
                <w:lang w:val="de-DE"/>
              </w:rPr>
              <w:t xml:space="preserve"> </w:t>
            </w:r>
            <w:r w:rsidR="009805E5" w:rsidRPr="001C417B">
              <w:rPr>
                <w:i/>
                <w:noProof w:val="0"/>
                <w:color w:val="00B050"/>
                <w:lang w:val="de-DE"/>
              </w:rPr>
              <w:t>mit Bezug auf</w:t>
            </w:r>
            <w:r w:rsidR="00DF40A3" w:rsidRPr="001C417B">
              <w:rPr>
                <w:i/>
                <w:noProof w:val="0"/>
                <w:color w:val="00B050"/>
                <w:lang w:val="de-DE"/>
              </w:rPr>
              <w:t xml:space="preserve"> die</w:t>
            </w:r>
            <w:r w:rsidR="001E3B91" w:rsidRPr="001C417B">
              <w:rPr>
                <w:i/>
                <w:noProof w:val="0"/>
                <w:color w:val="00B050"/>
                <w:lang w:val="de-DE"/>
              </w:rPr>
              <w:t xml:space="preserve"> im Laufe der Marktkonsultation </w:t>
            </w:r>
            <w:r w:rsidR="005251FD" w:rsidRPr="001C417B">
              <w:rPr>
                <w:i/>
                <w:noProof w:val="0"/>
                <w:color w:val="00B050"/>
                <w:lang w:val="de-DE"/>
              </w:rPr>
              <w:t xml:space="preserve">aufgenommenen </w:t>
            </w:r>
            <w:r w:rsidR="00E044C7" w:rsidRPr="001C417B">
              <w:rPr>
                <w:i/>
                <w:noProof w:val="0"/>
                <w:color w:val="00B050"/>
                <w:lang w:val="de-DE"/>
              </w:rPr>
              <w:t>Beiträge</w:t>
            </w:r>
            <w:r w:rsidR="001E3B91" w:rsidRPr="001C417B">
              <w:rPr>
                <w:i/>
                <w:noProof w:val="0"/>
                <w:color w:val="00B050"/>
                <w:lang w:val="de-DE"/>
              </w:rPr>
              <w:t xml:space="preserve"> </w:t>
            </w:r>
            <w:r w:rsidR="00E044C7" w:rsidRPr="001C417B">
              <w:rPr>
                <w:i/>
                <w:noProof w:val="0"/>
                <w:color w:val="00B050"/>
                <w:lang w:val="de-DE"/>
              </w:rPr>
              <w:t xml:space="preserve">und Informationen </w:t>
            </w:r>
            <w:r w:rsidR="00DF40A3" w:rsidRPr="001C417B">
              <w:rPr>
                <w:b/>
                <w:i/>
                <w:noProof w:val="0"/>
                <w:color w:val="00B050"/>
                <w:lang w:val="de-DE"/>
              </w:rPr>
              <w:t>einfügen muss</w:t>
            </w:r>
            <w:r w:rsidR="003F0E6A" w:rsidRPr="001C417B">
              <w:rPr>
                <w:i/>
                <w:noProof w:val="0"/>
                <w:color w:val="00B050"/>
                <w:lang w:val="de-DE"/>
              </w:rPr>
              <w:t>.</w:t>
            </w:r>
          </w:p>
          <w:p w14:paraId="5968D66B" w14:textId="0B2BEB10" w:rsidR="00DB5341" w:rsidRPr="001C417B" w:rsidRDefault="00E044C7" w:rsidP="00A650FA">
            <w:pPr>
              <w:pStyle w:val="DeutscherText"/>
              <w:spacing w:line="240" w:lineRule="auto"/>
              <w:ind w:right="78"/>
              <w:rPr>
                <w:i/>
                <w:noProof w:val="0"/>
                <w:color w:val="00B050"/>
                <w:lang w:val="de-DE"/>
              </w:rPr>
            </w:pPr>
            <w:r w:rsidRPr="001C417B">
              <w:rPr>
                <w:i/>
                <w:noProof w:val="0"/>
                <w:color w:val="00B050"/>
                <w:lang w:val="de-DE"/>
              </w:rPr>
              <w:t>Entscheidet</w:t>
            </w:r>
            <w:r w:rsidR="00DB5341" w:rsidRPr="001C417B">
              <w:rPr>
                <w:i/>
                <w:noProof w:val="0"/>
                <w:color w:val="00B050"/>
                <w:lang w:val="de-DE"/>
              </w:rPr>
              <w:t xml:space="preserve"> die Vergabestelle</w:t>
            </w:r>
            <w:r w:rsidR="00797A7F" w:rsidRPr="001C417B">
              <w:rPr>
                <w:i/>
                <w:noProof w:val="0"/>
                <w:color w:val="00B050"/>
                <w:lang w:val="de-DE"/>
              </w:rPr>
              <w:t>,</w:t>
            </w:r>
            <w:r w:rsidRPr="001C417B">
              <w:rPr>
                <w:i/>
                <w:noProof w:val="0"/>
                <w:color w:val="00B050"/>
                <w:lang w:val="de-DE"/>
              </w:rPr>
              <w:t xml:space="preserve"> das </w:t>
            </w:r>
            <w:r w:rsidR="00DB5341" w:rsidRPr="001C417B">
              <w:rPr>
                <w:i/>
                <w:noProof w:val="0"/>
                <w:color w:val="00B050"/>
                <w:lang w:val="de-DE"/>
              </w:rPr>
              <w:t>Ausschrei</w:t>
            </w:r>
            <w:r w:rsidR="00F6203A" w:rsidRPr="001C417B">
              <w:rPr>
                <w:rFonts w:cs="Arial"/>
                <w:bCs/>
                <w:sz w:val="24"/>
                <w:szCs w:val="16"/>
                <w:lang w:val="de-DE"/>
              </w:rPr>
              <w:softHyphen/>
            </w:r>
            <w:r w:rsidR="00DB5341" w:rsidRPr="001C417B">
              <w:rPr>
                <w:i/>
                <w:noProof w:val="0"/>
                <w:color w:val="00B050"/>
                <w:lang w:val="de-DE"/>
              </w:rPr>
              <w:t>bungsverfahren</w:t>
            </w:r>
            <w:r w:rsidRPr="001C417B">
              <w:rPr>
                <w:i/>
                <w:noProof w:val="0"/>
                <w:color w:val="00B050"/>
                <w:lang w:val="de-DE"/>
              </w:rPr>
              <w:t xml:space="preserve"> nicht einzuleiten</w:t>
            </w:r>
            <w:r w:rsidR="00797A7F" w:rsidRPr="001C417B">
              <w:rPr>
                <w:i/>
                <w:noProof w:val="0"/>
                <w:color w:val="00B050"/>
                <w:lang w:val="de-DE"/>
              </w:rPr>
              <w:t>,</w:t>
            </w:r>
            <w:r w:rsidR="00DB5341" w:rsidRPr="001C417B">
              <w:rPr>
                <w:i/>
                <w:noProof w:val="0"/>
                <w:color w:val="00B050"/>
                <w:lang w:val="de-DE"/>
              </w:rPr>
              <w:t xml:space="preserve"> </w:t>
            </w:r>
            <w:r w:rsidR="00F6203A" w:rsidRPr="001C417B">
              <w:rPr>
                <w:i/>
                <w:noProof w:val="0"/>
                <w:color w:val="00B050"/>
                <w:lang w:val="de-DE"/>
              </w:rPr>
              <w:t>muss es</w:t>
            </w:r>
            <w:r w:rsidR="00DB5341" w:rsidRPr="001C417B">
              <w:rPr>
                <w:i/>
                <w:noProof w:val="0"/>
                <w:color w:val="00B050"/>
                <w:lang w:val="de-DE"/>
              </w:rPr>
              <w:t xml:space="preserve"> die Gründe für diese Entscheidung an</w:t>
            </w:r>
            <w:r w:rsidRPr="001C417B">
              <w:rPr>
                <w:i/>
                <w:noProof w:val="0"/>
                <w:color w:val="00B050"/>
                <w:lang w:val="de-DE"/>
              </w:rPr>
              <w:t>ge</w:t>
            </w:r>
            <w:r w:rsidR="00DB5341" w:rsidRPr="001C417B">
              <w:rPr>
                <w:i/>
                <w:noProof w:val="0"/>
                <w:color w:val="00B050"/>
                <w:lang w:val="de-DE"/>
              </w:rPr>
              <w:t>ben.</w:t>
            </w:r>
          </w:p>
          <w:p w14:paraId="2EE57452" w14:textId="77777777" w:rsidR="00797A7F" w:rsidRPr="001C417B" w:rsidRDefault="00797A7F" w:rsidP="00A650FA">
            <w:pPr>
              <w:pStyle w:val="DeutscherText"/>
              <w:spacing w:line="240" w:lineRule="auto"/>
              <w:ind w:right="78"/>
              <w:rPr>
                <w:i/>
                <w:noProof w:val="0"/>
                <w:color w:val="00B050"/>
                <w:lang w:val="de-DE"/>
              </w:rPr>
            </w:pPr>
          </w:p>
          <w:p w14:paraId="175447FC" w14:textId="764B30D6" w:rsidR="006E3CD9" w:rsidRPr="001C417B" w:rsidRDefault="006E3CD9" w:rsidP="006E3CD9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de-DE"/>
              </w:rPr>
            </w:pPr>
            <w:bookmarkStart w:id="4" w:name="_Hlk8649108"/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>Das Rechtsinstitut der vorherigen Marktkonsultation gemäß Art.</w:t>
            </w:r>
            <w:proofErr w:type="gramStart"/>
            <w:r w:rsidR="000D383F" w:rsidRPr="001C417B">
              <w:rPr>
                <w:rFonts w:cs="Arial"/>
                <w:i/>
                <w:noProof w:val="0"/>
                <w:color w:val="00B050"/>
                <w:lang w:val="de-DE"/>
              </w:rPr>
              <w:t>77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 </w:t>
            </w:r>
            <w:proofErr w:type="spellStart"/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>GvD</w:t>
            </w:r>
            <w:proofErr w:type="spellEnd"/>
            <w:proofErr w:type="gramEnd"/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Nr. </w:t>
            </w:r>
            <w:r w:rsidR="000D383F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36/2023 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>50/2016 ist von der Markterkundung nach Art.</w:t>
            </w:r>
            <w:r w:rsidR="00C91FB7" w:rsidRPr="001C417B">
              <w:rPr>
                <w:rFonts w:cs="Arial"/>
                <w:i/>
                <w:noProof w:val="0"/>
                <w:color w:val="00B050"/>
                <w:lang w:val="de-DE"/>
              </w:rPr>
              <w:t>50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 Abs. </w:t>
            </w:r>
            <w:r w:rsidR="00C91FB7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2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ebd. zu unterscheiden. Die Markterkundung ist ein Verfahren zur </w:t>
            </w:r>
            <w:r w:rsidR="00675D3E" w:rsidRPr="001C417B">
              <w:rPr>
                <w:rFonts w:cs="Arial"/>
                <w:i/>
                <w:noProof w:val="0"/>
                <w:color w:val="00B050"/>
                <w:lang w:val="de-DE"/>
              </w:rPr>
              <w:t>Auswahl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der Wirtschaftsteilnehmer, die zur Teilnahme am Verhandlungsverfahren </w:t>
            </w:r>
            <w:r w:rsidR="00AB1ADE" w:rsidRPr="001C417B">
              <w:rPr>
                <w:rFonts w:cs="Arial"/>
                <w:i/>
                <w:noProof w:val="0"/>
                <w:color w:val="00B050"/>
                <w:lang w:val="de-DE"/>
              </w:rPr>
              <w:t>einzuladen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sind, </w:t>
            </w:r>
            <w:r w:rsidR="000A42B9" w:rsidRPr="001C417B">
              <w:rPr>
                <w:rFonts w:cs="Arial"/>
                <w:i/>
                <w:noProof w:val="0"/>
                <w:color w:val="00B050"/>
                <w:lang w:val="de-DE"/>
              </w:rPr>
              <w:t>bzw.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ein </w:t>
            </w:r>
            <w:r w:rsidR="000A42B9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reines 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>Erkundungsverfahren bei Direktvergabe</w:t>
            </w:r>
            <w:r w:rsidR="000A42B9" w:rsidRPr="001C417B">
              <w:rPr>
                <w:rFonts w:cs="Arial"/>
                <w:i/>
                <w:noProof w:val="0"/>
                <w:color w:val="00B050"/>
                <w:lang w:val="de-DE"/>
              </w:rPr>
              <w:t>n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von Bau-, Dienstleistungs- und Lieferaufträge</w:t>
            </w:r>
            <w:r w:rsidR="004E2B05" w:rsidRPr="001C417B">
              <w:rPr>
                <w:rFonts w:cs="Arial"/>
                <w:i/>
                <w:noProof w:val="0"/>
                <w:color w:val="00B050"/>
                <w:lang w:val="de-DE"/>
              </w:rPr>
              <w:t>n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unter </w:t>
            </w:r>
            <w:r w:rsidR="009872EB" w:rsidRPr="001C417B">
              <w:rPr>
                <w:rFonts w:cs="Arial"/>
                <w:i/>
                <w:noProof w:val="0"/>
                <w:color w:val="00B050"/>
                <w:lang w:val="de-DE"/>
              </w:rPr>
              <w:t>150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>.000,00 Euro. Zum Unterschied zu diese</w:t>
            </w:r>
            <w:r w:rsidR="002D234C" w:rsidRPr="001C417B">
              <w:rPr>
                <w:rFonts w:cs="Arial"/>
                <w:i/>
                <w:noProof w:val="0"/>
                <w:color w:val="00B050"/>
                <w:lang w:val="de-DE"/>
              </w:rPr>
              <w:t>m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</w:t>
            </w:r>
            <w:r w:rsidRPr="001C417B">
              <w:rPr>
                <w:rFonts w:cs="Arial"/>
                <w:b/>
                <w:i/>
                <w:noProof w:val="0"/>
                <w:color w:val="00B050"/>
                <w:lang w:val="de-DE"/>
              </w:rPr>
              <w:t>Verfahren kann die vorherige Marktkonsultation nicht Zugangsvoraussetzung für die Folgeausschreibung darstellen.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</w:t>
            </w:r>
          </w:p>
          <w:p w14:paraId="1B676920" w14:textId="77777777" w:rsidR="00797A7F" w:rsidRPr="001C417B" w:rsidRDefault="00797A7F" w:rsidP="006E3CD9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de-DE"/>
              </w:rPr>
            </w:pPr>
          </w:p>
          <w:bookmarkEnd w:id="4"/>
          <w:p w14:paraId="6147497C" w14:textId="5F865B99" w:rsidR="006E3CD9" w:rsidRPr="001C417B" w:rsidRDefault="006E3CD9" w:rsidP="00A650FA">
            <w:pPr>
              <w:pStyle w:val="DeutscherText"/>
              <w:spacing w:line="240" w:lineRule="auto"/>
              <w:ind w:right="78"/>
              <w:rPr>
                <w:i/>
                <w:noProof w:val="0"/>
                <w:color w:val="00B050"/>
                <w:lang w:val="de-DE"/>
              </w:rPr>
            </w:pPr>
            <w:r w:rsidRPr="001C417B">
              <w:rPr>
                <w:i/>
                <w:noProof w:val="0"/>
                <w:color w:val="00B050"/>
                <w:lang w:val="de-DE"/>
              </w:rPr>
              <w:t>Die vorherige Marktkonsultation kann jed</w:t>
            </w:r>
            <w:r w:rsidR="000A42B9" w:rsidRPr="001C417B">
              <w:rPr>
                <w:i/>
                <w:noProof w:val="0"/>
                <w:color w:val="00B050"/>
                <w:lang w:val="de-DE"/>
              </w:rPr>
              <w:t>wed</w:t>
            </w:r>
            <w:r w:rsidRPr="001C417B">
              <w:rPr>
                <w:i/>
                <w:noProof w:val="0"/>
                <w:color w:val="00B050"/>
                <w:lang w:val="de-DE"/>
              </w:rPr>
              <w:t>en Aspekt betreffen, der für die Vorbe</w:t>
            </w:r>
            <w:r w:rsidR="0057124B" w:rsidRPr="001C417B">
              <w:rPr>
                <w:rFonts w:cs="Arial"/>
                <w:bCs/>
                <w:sz w:val="24"/>
                <w:szCs w:val="16"/>
                <w:lang w:val="de-DE"/>
              </w:rPr>
              <w:softHyphen/>
            </w:r>
            <w:r w:rsidRPr="001C417B">
              <w:rPr>
                <w:i/>
                <w:noProof w:val="0"/>
                <w:color w:val="00B050"/>
                <w:lang w:val="de-DE"/>
              </w:rPr>
              <w:t xml:space="preserve">reitung des Auswahlverfahrens nützlich ist, </w:t>
            </w:r>
            <w:r w:rsidR="000A42B9" w:rsidRPr="001C417B">
              <w:rPr>
                <w:i/>
                <w:noProof w:val="0"/>
                <w:color w:val="00B050"/>
                <w:lang w:val="de-DE"/>
              </w:rPr>
              <w:t xml:space="preserve">wobei aber </w:t>
            </w:r>
            <w:r w:rsidR="000A42B9" w:rsidRPr="001C417B">
              <w:rPr>
                <w:b/>
                <w:i/>
                <w:noProof w:val="0"/>
                <w:color w:val="00B050"/>
                <w:lang w:val="de-DE"/>
              </w:rPr>
              <w:t>vermieden werden muss</w:t>
            </w:r>
            <w:r w:rsidR="00533E3E" w:rsidRPr="001C417B">
              <w:rPr>
                <w:b/>
                <w:i/>
                <w:noProof w:val="0"/>
                <w:color w:val="00B050"/>
                <w:lang w:val="de-DE"/>
              </w:rPr>
              <w:t xml:space="preserve">, dass die </w:t>
            </w:r>
            <w:r w:rsidR="000A42B9" w:rsidRPr="001C417B">
              <w:rPr>
                <w:b/>
                <w:i/>
                <w:noProof w:val="0"/>
                <w:color w:val="00B050"/>
                <w:lang w:val="de-DE"/>
              </w:rPr>
              <w:t xml:space="preserve">eingebrachten Informationen </w:t>
            </w:r>
            <w:r w:rsidR="00533E3E" w:rsidRPr="001C417B">
              <w:rPr>
                <w:b/>
                <w:i/>
                <w:noProof w:val="0"/>
                <w:color w:val="00B050"/>
                <w:lang w:val="de-DE"/>
              </w:rPr>
              <w:t>technische oder wirtschaftliche Angebote darstellen</w:t>
            </w:r>
            <w:r w:rsidR="00533E3E" w:rsidRPr="001C417B">
              <w:rPr>
                <w:i/>
                <w:noProof w:val="0"/>
                <w:color w:val="00B050"/>
                <w:lang w:val="de-DE"/>
              </w:rPr>
              <w:t>. Die</w:t>
            </w:r>
            <w:r w:rsidR="0057124B" w:rsidRPr="001C417B">
              <w:rPr>
                <w:i/>
                <w:noProof w:val="0"/>
                <w:color w:val="00B050"/>
                <w:lang w:val="de-DE"/>
              </w:rPr>
              <w:t xml:space="preserve"> ein</w:t>
            </w:r>
            <w:r w:rsidR="0057124B" w:rsidRPr="001C417B">
              <w:rPr>
                <w:rFonts w:cs="Arial"/>
                <w:bCs/>
                <w:sz w:val="24"/>
                <w:szCs w:val="16"/>
                <w:lang w:val="de-DE"/>
              </w:rPr>
              <w:softHyphen/>
            </w:r>
            <w:r w:rsidR="0057124B" w:rsidRPr="001C417B">
              <w:rPr>
                <w:i/>
                <w:noProof w:val="0"/>
                <w:color w:val="00B050"/>
                <w:lang w:val="de-DE"/>
              </w:rPr>
              <w:t xml:space="preserve">gebrachten Beiträge </w:t>
            </w:r>
            <w:r w:rsidR="00533E3E" w:rsidRPr="001C417B">
              <w:rPr>
                <w:i/>
                <w:noProof w:val="0"/>
                <w:color w:val="00B050"/>
                <w:lang w:val="de-DE"/>
              </w:rPr>
              <w:t xml:space="preserve">können nicht spezifische </w:t>
            </w:r>
            <w:r w:rsidR="00587D1F" w:rsidRPr="001C417B">
              <w:rPr>
                <w:i/>
                <w:noProof w:val="0"/>
                <w:color w:val="00B050"/>
                <w:lang w:val="de-DE"/>
              </w:rPr>
              <w:t>Quotierungen</w:t>
            </w:r>
            <w:r w:rsidR="00533E3E" w:rsidRPr="001C417B">
              <w:rPr>
                <w:i/>
                <w:noProof w:val="0"/>
                <w:color w:val="00B050"/>
                <w:lang w:val="de-DE"/>
              </w:rPr>
              <w:t xml:space="preserve"> zum konsultationsgegenständ</w:t>
            </w:r>
            <w:r w:rsidR="0057124B" w:rsidRPr="001C417B">
              <w:rPr>
                <w:rFonts w:cs="Arial"/>
                <w:bCs/>
                <w:sz w:val="24"/>
                <w:szCs w:val="16"/>
                <w:lang w:val="de-DE"/>
              </w:rPr>
              <w:softHyphen/>
            </w:r>
            <w:r w:rsidR="00533E3E" w:rsidRPr="001C417B">
              <w:rPr>
                <w:i/>
                <w:noProof w:val="0"/>
                <w:color w:val="00B050"/>
                <w:lang w:val="de-DE"/>
              </w:rPr>
              <w:t xml:space="preserve">lichen Produkt/Dienst/Bau </w:t>
            </w:r>
            <w:r w:rsidR="000A42B9" w:rsidRPr="001C417B">
              <w:rPr>
                <w:i/>
                <w:noProof w:val="0"/>
                <w:color w:val="00B050"/>
                <w:lang w:val="de-DE"/>
              </w:rPr>
              <w:t>vorwegnehmen</w:t>
            </w:r>
            <w:r w:rsidR="00533E3E" w:rsidRPr="001C417B">
              <w:rPr>
                <w:i/>
                <w:noProof w:val="0"/>
                <w:color w:val="00B050"/>
                <w:lang w:val="de-DE"/>
              </w:rPr>
              <w:t xml:space="preserve">. </w:t>
            </w:r>
          </w:p>
          <w:p w14:paraId="40E11891" w14:textId="77777777" w:rsidR="00797A7F" w:rsidRPr="001C417B" w:rsidRDefault="00797A7F" w:rsidP="00A650FA">
            <w:pPr>
              <w:pStyle w:val="DeutscherText"/>
              <w:spacing w:line="240" w:lineRule="auto"/>
              <w:ind w:right="78"/>
              <w:rPr>
                <w:i/>
                <w:noProof w:val="0"/>
                <w:color w:val="00B050"/>
                <w:lang w:val="de-DE"/>
              </w:rPr>
            </w:pPr>
          </w:p>
          <w:p w14:paraId="3FB7E5A5" w14:textId="4B53CE82" w:rsidR="00833D62" w:rsidRPr="001C417B" w:rsidRDefault="00533E3E" w:rsidP="00845922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de-DE"/>
              </w:rPr>
            </w:pP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Zudem kann </w:t>
            </w:r>
            <w:r w:rsidR="000A42B9" w:rsidRPr="001C417B">
              <w:rPr>
                <w:rFonts w:cs="Arial"/>
                <w:i/>
                <w:noProof w:val="0"/>
                <w:color w:val="00B050"/>
                <w:lang w:val="de-DE"/>
              </w:rPr>
              <w:t>eine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</w:t>
            </w:r>
            <w:r w:rsidR="00891381" w:rsidRPr="001C417B">
              <w:rPr>
                <w:rFonts w:cs="Arial"/>
                <w:i/>
                <w:noProof w:val="0"/>
                <w:color w:val="00B050"/>
                <w:lang w:val="de-DE"/>
              </w:rPr>
              <w:t>Marktk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onsultation zusätzlich oder alternativ </w:t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>zu</w:t>
            </w:r>
            <w:r w:rsidR="00891381" w:rsidRPr="001C417B">
              <w:rPr>
                <w:rFonts w:cs="Arial"/>
                <w:i/>
                <w:noProof w:val="0"/>
                <w:color w:val="00B050"/>
                <w:lang w:val="de-DE"/>
              </w:rPr>
              <w:t>r</w:t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öffentlichen Bekannt</w:t>
            </w:r>
            <w:r w:rsidR="00891381" w:rsidRPr="001C417B">
              <w:rPr>
                <w:rFonts w:cs="Arial"/>
                <w:bCs/>
                <w:sz w:val="24"/>
                <w:szCs w:val="16"/>
                <w:lang w:val="de-DE"/>
              </w:rPr>
              <w:softHyphen/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>machung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</w:t>
            </w:r>
            <w:r w:rsidR="00891381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auch </w:t>
            </w:r>
            <w:r w:rsidRPr="001C417B">
              <w:rPr>
                <w:rFonts w:cs="Arial"/>
                <w:i/>
                <w:noProof w:val="0"/>
                <w:color w:val="00B050"/>
                <w:lang w:val="de-DE"/>
              </w:rPr>
              <w:t>durch Konsultationsschreiben eingeführt werden</w:t>
            </w:r>
            <w:r w:rsidR="00AC061B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, </w:t>
            </w:r>
            <w:r w:rsidR="00891381" w:rsidRPr="001C417B">
              <w:rPr>
                <w:rFonts w:cs="Arial"/>
                <w:i/>
                <w:noProof w:val="0"/>
                <w:color w:val="00B050"/>
                <w:lang w:val="de-DE"/>
              </w:rPr>
              <w:t>sofern dieses</w:t>
            </w:r>
            <w:r w:rsidR="00AC061B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an unabhängige Behörden gerichtet ist. In Ausnahmefällen, bedingt durch die Besonderheit des Produkts/Dienstes/Baus kann die Vergabe</w:t>
            </w:r>
            <w:r w:rsidR="00D26482" w:rsidRPr="001C417B">
              <w:rPr>
                <w:rFonts w:cs="Arial"/>
                <w:bCs/>
                <w:sz w:val="24"/>
                <w:szCs w:val="16"/>
                <w:lang w:val="de-DE"/>
              </w:rPr>
              <w:softHyphen/>
            </w:r>
            <w:r w:rsidR="00AC061B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stelle </w:t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>in Einhaltung de</w:t>
            </w:r>
            <w:r w:rsidR="006548A7" w:rsidRPr="001C417B">
              <w:rPr>
                <w:rFonts w:cs="Arial"/>
                <w:i/>
                <w:noProof w:val="0"/>
                <w:color w:val="00B050"/>
                <w:lang w:val="de-DE"/>
              </w:rPr>
              <w:t>r Grundsätze der</w:t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Nicht</w:t>
            </w:r>
            <w:r w:rsidR="006548A7" w:rsidRPr="001C417B">
              <w:rPr>
                <w:rFonts w:cs="Arial"/>
                <w:i/>
                <w:noProof w:val="0"/>
                <w:color w:val="00B050"/>
                <w:lang w:val="de-DE"/>
              </w:rPr>
              <w:t>d</w:t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>iskriminierung und Transparenz</w:t>
            </w:r>
            <w:r w:rsidR="00AC061B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die Konsultation </w:t>
            </w:r>
            <w:r w:rsidR="00096995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zusätzlich zur Bekanntmachung </w:t>
            </w:r>
            <w:r w:rsidR="00AC061B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auch </w:t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>an</w:t>
            </w:r>
            <w:r w:rsidR="00096995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genau</w:t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</w:t>
            </w:r>
            <w:r w:rsidR="00AC061B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bestimmte Subjekte </w:t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>richten. Die Vergabestelle behält auf jeden Fall die Befugnis bei, jenseits de</w:t>
            </w:r>
            <w:r w:rsidR="00891381" w:rsidRPr="001C417B">
              <w:rPr>
                <w:rFonts w:cs="Arial"/>
                <w:i/>
                <w:noProof w:val="0"/>
                <w:color w:val="00B050"/>
                <w:lang w:val="de-DE"/>
              </w:rPr>
              <w:t>r</w:t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vorherigen </w:t>
            </w:r>
            <w:r w:rsidR="00891381" w:rsidRPr="001C417B">
              <w:rPr>
                <w:rFonts w:cs="Arial"/>
                <w:i/>
                <w:noProof w:val="0"/>
                <w:color w:val="00B050"/>
                <w:lang w:val="de-DE"/>
              </w:rPr>
              <w:t>Marktkonsultation</w:t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gemäß Art.</w:t>
            </w:r>
            <w:proofErr w:type="gramStart"/>
            <w:r w:rsidR="00C91FB7" w:rsidRPr="001C417B">
              <w:rPr>
                <w:rFonts w:cs="Arial"/>
                <w:i/>
                <w:noProof w:val="0"/>
                <w:color w:val="00B050"/>
                <w:lang w:val="de-DE"/>
              </w:rPr>
              <w:t>77</w:t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</w:t>
            </w:r>
            <w:r w:rsidR="00D07CA5" w:rsidRPr="001C417B">
              <w:rPr>
                <w:rFonts w:cs="Arial"/>
                <w:i/>
                <w:strike/>
                <w:noProof w:val="0"/>
                <w:color w:val="00B050"/>
                <w:lang w:val="de-DE"/>
              </w:rPr>
              <w:t xml:space="preserve"> </w:t>
            </w:r>
            <w:proofErr w:type="spellStart"/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>GvD</w:t>
            </w:r>
            <w:proofErr w:type="spellEnd"/>
            <w:proofErr w:type="gramEnd"/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Nr. </w:t>
            </w:r>
            <w:r w:rsidR="00C91FB7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36/2023 </w:t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>öffentliche Subjekte</w:t>
            </w:r>
            <w:r w:rsidR="00096995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zu</w:t>
            </w:r>
            <w:r w:rsidR="00D07CA5" w:rsidRPr="001C417B">
              <w:rPr>
                <w:rFonts w:cs="Arial"/>
                <w:i/>
                <w:noProof w:val="0"/>
                <w:color w:val="00B050"/>
                <w:lang w:val="de-DE"/>
              </w:rPr>
              <w:t xml:space="preserve"> konsultieren, z.B. um normative oder technische Gutachten anzufordern.</w:t>
            </w:r>
          </w:p>
          <w:p w14:paraId="6055E1D7" w14:textId="570D991E" w:rsidR="00114082" w:rsidRPr="001C417B" w:rsidRDefault="00114082" w:rsidP="00845922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de-DE"/>
              </w:rPr>
            </w:pPr>
          </w:p>
        </w:tc>
        <w:tc>
          <w:tcPr>
            <w:tcW w:w="1361" w:type="dxa"/>
          </w:tcPr>
          <w:p w14:paraId="59C5D4A3" w14:textId="77777777" w:rsidR="00300EF7" w:rsidRPr="001C417B" w:rsidRDefault="00300EF7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9" w:type="dxa"/>
          </w:tcPr>
          <w:p w14:paraId="4A9A96A6" w14:textId="3561B7FF" w:rsidR="00300EF7" w:rsidRPr="001C417B" w:rsidRDefault="00A650FA" w:rsidP="00CC2ED7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it-IT"/>
              </w:rPr>
            </w:pP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>NOT</w:t>
            </w:r>
            <w:r w:rsidR="00B94166" w:rsidRPr="001C417B">
              <w:rPr>
                <w:rFonts w:cs="Arial"/>
                <w:i/>
                <w:noProof w:val="0"/>
                <w:color w:val="00B050"/>
                <w:lang w:val="it-IT"/>
              </w:rPr>
              <w:t>E</w:t>
            </w:r>
            <w:r w:rsidR="003A7312"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 (da cancellare)</w:t>
            </w:r>
            <w:r w:rsidR="00ED5A68" w:rsidRPr="001C417B">
              <w:rPr>
                <w:rFonts w:cs="Arial"/>
                <w:i/>
                <w:noProof w:val="0"/>
                <w:color w:val="00B050"/>
                <w:lang w:val="it-IT"/>
              </w:rPr>
              <w:t>:</w:t>
            </w:r>
          </w:p>
          <w:p w14:paraId="27C8BB80" w14:textId="303997E1" w:rsidR="00ED5A68" w:rsidRPr="001C417B" w:rsidRDefault="00ED5A68" w:rsidP="00A650FA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it-IT"/>
              </w:rPr>
            </w:pP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Si ricorda che, successivamente all’espletamento delle consultazioni preliminari, il </w:t>
            </w:r>
            <w:r w:rsidRPr="001C417B">
              <w:rPr>
                <w:rFonts w:cs="Arial"/>
                <w:b/>
                <w:i/>
                <w:noProof w:val="0"/>
                <w:color w:val="00B050"/>
                <w:lang w:val="it-IT"/>
              </w:rPr>
              <w:t>RUP deve redigere un atto o inserire nella relazione unica a contrarre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 </w:t>
            </w:r>
            <w:r w:rsidRPr="001C417B">
              <w:rPr>
                <w:rFonts w:cs="Arial"/>
                <w:b/>
                <w:i/>
                <w:noProof w:val="0"/>
                <w:color w:val="00B050"/>
                <w:lang w:val="it-IT"/>
              </w:rPr>
              <w:t>le motivazioni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 in ordine alle scelte effettuate in relazione </w:t>
            </w:r>
            <w:r w:rsidR="005251FD" w:rsidRPr="001C417B">
              <w:rPr>
                <w:rFonts w:cs="Arial"/>
                <w:i/>
                <w:noProof w:val="0"/>
                <w:color w:val="00B050"/>
                <w:lang w:val="it-IT"/>
              </w:rPr>
              <w:t>ai contributi</w:t>
            </w:r>
            <w:r w:rsidR="00182754"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 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>e alle informazioni acquisite nel corso della consultazione.</w:t>
            </w:r>
          </w:p>
          <w:p w14:paraId="3364706B" w14:textId="6F654463" w:rsidR="00ED5A68" w:rsidRPr="001C417B" w:rsidRDefault="00ED5A68" w:rsidP="00A650FA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it-IT"/>
              </w:rPr>
            </w:pP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>Qualora la stazione appaltante non opti per l’avvio di una procedura di gara, occorre fornire le ragioni sottese alla scelta.</w:t>
            </w:r>
          </w:p>
          <w:p w14:paraId="1AFD86DF" w14:textId="77777777" w:rsidR="00797A7F" w:rsidRPr="001C417B" w:rsidRDefault="00797A7F" w:rsidP="00A650FA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it-IT"/>
              </w:rPr>
            </w:pPr>
          </w:p>
          <w:p w14:paraId="4EB27F6C" w14:textId="5EF38E35" w:rsidR="00F42A0C" w:rsidRPr="001C417B" w:rsidRDefault="00914AB4" w:rsidP="00A650FA">
            <w:pPr>
              <w:widowControl w:val="0"/>
              <w:ind w:right="79"/>
              <w:jc w:val="both"/>
              <w:rPr>
                <w:rFonts w:cs="Arial"/>
                <w:b/>
                <w:i/>
                <w:noProof w:val="0"/>
                <w:color w:val="00B050"/>
                <w:lang w:val="it-IT"/>
              </w:rPr>
            </w:pP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L’istituto della consultazione preliminare </w:t>
            </w:r>
            <w:r w:rsidR="00CB5ACB"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di mercato 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>di cui all’art</w:t>
            </w:r>
            <w:r w:rsidR="000D383F"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 77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 deve essere tenuto distinto da quello dell’indagine di mercato di cui all’art</w:t>
            </w:r>
            <w:r w:rsidR="00CB5ACB" w:rsidRPr="001C417B">
              <w:rPr>
                <w:rFonts w:cs="Arial"/>
                <w:i/>
                <w:noProof w:val="0"/>
                <w:color w:val="00B050"/>
                <w:lang w:val="it-IT"/>
              </w:rPr>
              <w:t>.</w:t>
            </w:r>
            <w:r w:rsidR="00C91FB7" w:rsidRPr="001C417B">
              <w:rPr>
                <w:rFonts w:cs="Arial"/>
                <w:i/>
                <w:noProof w:val="0"/>
                <w:color w:val="00B050"/>
                <w:lang w:val="it-IT"/>
              </w:rPr>
              <w:t>50 comma 2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 del D.lgs. </w:t>
            </w:r>
            <w:r w:rsidR="000D383F" w:rsidRPr="001C417B">
              <w:rPr>
                <w:rFonts w:cs="Arial"/>
                <w:i/>
                <w:noProof w:val="0"/>
                <w:color w:val="00B050"/>
                <w:lang w:val="it-IT"/>
              </w:rPr>
              <w:t>36/2023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>. L’indagine di mercato costituisce un procedimento finalizzato a selezionare gli operatori economici da invitare a</w:t>
            </w:r>
            <w:r w:rsidR="003A6025" w:rsidRPr="001C417B">
              <w:rPr>
                <w:rFonts w:cs="Arial"/>
                <w:i/>
                <w:noProof w:val="0"/>
                <w:color w:val="00B050"/>
                <w:lang w:val="it-IT"/>
              </w:rPr>
              <w:t>lle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 pro</w:t>
            </w:r>
            <w:r w:rsidR="00A841B9"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cedure negoziate </w:t>
            </w:r>
            <w:r w:rsidR="003A6025" w:rsidRPr="001C417B">
              <w:rPr>
                <w:rFonts w:cs="Arial"/>
                <w:i/>
                <w:noProof w:val="0"/>
                <w:color w:val="00B050"/>
                <w:lang w:val="it-IT"/>
              </w:rPr>
              <w:t>o</w:t>
            </w:r>
            <w:r w:rsidR="00A841B9"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 “semplicemente esplorativo” nell’affidamento diretto di lavori, servizi e forniture di importo inferiore a </w:t>
            </w:r>
            <w:r w:rsidR="009872EB" w:rsidRPr="001C417B">
              <w:rPr>
                <w:rFonts w:cs="Arial"/>
                <w:i/>
                <w:noProof w:val="0"/>
                <w:color w:val="00B050"/>
                <w:lang w:val="it-IT"/>
              </w:rPr>
              <w:t>150</w:t>
            </w:r>
            <w:r w:rsidR="00A841B9"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.000,00 euro. 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 Diversamente dalle procedure menzionate, la </w:t>
            </w:r>
            <w:r w:rsidRPr="001C417B">
              <w:rPr>
                <w:rFonts w:cs="Arial"/>
                <w:b/>
                <w:i/>
                <w:noProof w:val="0"/>
                <w:color w:val="00B050"/>
                <w:lang w:val="it-IT"/>
              </w:rPr>
              <w:t>consultazione preliminare di mercato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 </w:t>
            </w:r>
            <w:r w:rsidRPr="001C417B">
              <w:rPr>
                <w:rFonts w:cs="Arial"/>
                <w:b/>
                <w:i/>
                <w:noProof w:val="0"/>
                <w:color w:val="00B050"/>
                <w:lang w:val="it-IT"/>
              </w:rPr>
              <w:t>non può costituire condizione di accesso alla successiva gara.</w:t>
            </w:r>
          </w:p>
          <w:p w14:paraId="6E70B4C5" w14:textId="77777777" w:rsidR="00797A7F" w:rsidRPr="001C417B" w:rsidRDefault="00797A7F" w:rsidP="00A650FA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it-IT"/>
              </w:rPr>
            </w:pPr>
          </w:p>
          <w:p w14:paraId="2E21AC78" w14:textId="19441792" w:rsidR="00D4496B" w:rsidRPr="001C417B" w:rsidRDefault="00D4496B" w:rsidP="00D4496B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it-IT"/>
              </w:rPr>
            </w:pP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La consultazione </w:t>
            </w:r>
            <w:r w:rsidR="00CB5ACB"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preliminare 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di mercato può riguardare ogni aspetto ritenuto utile alla preparazione del procedimento selettivo, ferma restando la necessità di </w:t>
            </w:r>
            <w:r w:rsidRPr="001C417B">
              <w:rPr>
                <w:rFonts w:cs="Arial"/>
                <w:b/>
                <w:i/>
                <w:noProof w:val="0"/>
                <w:color w:val="00B050"/>
                <w:lang w:val="it-IT"/>
              </w:rPr>
              <w:t>evitare che gli apporti informativi forniti costituiscano offerte tecniche o economiche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. </w:t>
            </w:r>
            <w:r w:rsidR="0057124B" w:rsidRPr="001C417B">
              <w:rPr>
                <w:rFonts w:cs="Arial"/>
                <w:i/>
                <w:noProof w:val="0"/>
                <w:color w:val="00B050"/>
                <w:lang w:val="it-IT"/>
              </w:rPr>
              <w:t>I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 contributi forniti non possono anticipare specifiche quotazioni afferenti al prodotto/servizio/opera oggetto della consultazione.</w:t>
            </w:r>
          </w:p>
          <w:p w14:paraId="6B2DAE36" w14:textId="77777777" w:rsidR="00797A7F" w:rsidRPr="001C417B" w:rsidRDefault="00797A7F" w:rsidP="00D4496B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it-IT"/>
              </w:rPr>
            </w:pPr>
          </w:p>
          <w:p w14:paraId="70E5064C" w14:textId="40A377CC" w:rsidR="00D4496B" w:rsidRPr="001C417B" w:rsidRDefault="008B3777" w:rsidP="00F42A0C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it-IT"/>
              </w:rPr>
            </w:pP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La consultazione può altresì essere introdotta, in aggiunta o in alternativa al presente ’avviso pubblico, mediante lettera di consultazione, nella misura in cui sia indirizzata ad autorità indipendenti. In casi eccezionali, dipendenti dalla particolarità del prodotto/servizio/opera, la stazione appaltante, in aggiunta all’avviso può indirizzare la consultazione anche a soggetti determinati, nel rispetto comunque dei principi in non discriminazione e trasparenza. In ogni caso, la stazione appaltante conserva sempre la facoltà, al di fuori del procedimento di consultazione preliminare di cui agli articoli </w:t>
            </w:r>
            <w:r w:rsidR="00C91FB7" w:rsidRPr="001C417B">
              <w:rPr>
                <w:rFonts w:cs="Arial"/>
                <w:i/>
                <w:noProof w:val="0"/>
                <w:color w:val="00B050"/>
                <w:lang w:val="it-IT"/>
              </w:rPr>
              <w:t xml:space="preserve">77 </w:t>
            </w:r>
            <w:r w:rsidRPr="001C417B">
              <w:rPr>
                <w:rFonts w:cs="Arial"/>
                <w:i/>
                <w:noProof w:val="0"/>
                <w:color w:val="00B050"/>
                <w:lang w:val="it-IT"/>
              </w:rPr>
              <w:t>del Codice dei contratti pubblici, di interpellare soggetti pubblici, ad esempio per richiedere pareri normativi o tecnici.</w:t>
            </w:r>
          </w:p>
          <w:p w14:paraId="157B61C3" w14:textId="47C25D57" w:rsidR="00D4496B" w:rsidRPr="001C417B" w:rsidRDefault="00D4496B" w:rsidP="00F42A0C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300EF7" w:rsidRPr="008E10B1" w14:paraId="5B257376" w14:textId="77777777" w:rsidTr="000D772D">
        <w:tc>
          <w:tcPr>
            <w:tcW w:w="4139" w:type="dxa"/>
          </w:tcPr>
          <w:p w14:paraId="62E2D3AC" w14:textId="247783E9" w:rsidR="00F672C8" w:rsidRPr="001F6C97" w:rsidRDefault="00F672C8" w:rsidP="003641F8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de-DE"/>
              </w:rPr>
            </w:pPr>
            <w:r w:rsidRPr="008E10B1">
              <w:rPr>
                <w:rFonts w:cs="Arial"/>
                <w:i/>
                <w:noProof w:val="0"/>
                <w:color w:val="00B050"/>
                <w:lang w:val="de-DE"/>
              </w:rPr>
              <w:t xml:space="preserve">Es wird darauf hingewiesen, dass die Marktkonsultation </w:t>
            </w:r>
            <w:r w:rsidRPr="008E10B1">
              <w:rPr>
                <w:rFonts w:cs="Arial"/>
                <w:b/>
                <w:i/>
                <w:noProof w:val="0"/>
                <w:color w:val="00B050"/>
                <w:lang w:val="de-DE"/>
              </w:rPr>
              <w:t>keine Teilnahme-voraussetzungen vorsehen darf,</w:t>
            </w:r>
            <w:r w:rsidRPr="008E10B1">
              <w:rPr>
                <w:rFonts w:cs="Arial"/>
                <w:i/>
                <w:noProof w:val="0"/>
                <w:color w:val="00B050"/>
                <w:lang w:val="de-DE"/>
              </w:rPr>
              <w:t xml:space="preserve"> welche eine Einschränkung des freien Wettbewerbs bewirken könnten. </w:t>
            </w:r>
            <w:r w:rsidRPr="001F6C97">
              <w:rPr>
                <w:rFonts w:cs="Arial"/>
                <w:i/>
                <w:noProof w:val="0"/>
                <w:color w:val="00B050"/>
                <w:lang w:val="de-DE"/>
              </w:rPr>
              <w:t xml:space="preserve">Die Vorgabe von Mindestvoraussetzungen für die Teilnahme </w:t>
            </w:r>
            <w:r w:rsidRPr="001F6C97">
              <w:rPr>
                <w:rFonts w:cs="Arial"/>
                <w:b/>
                <w:i/>
                <w:noProof w:val="0"/>
                <w:color w:val="00B050"/>
                <w:lang w:val="de-DE"/>
              </w:rPr>
              <w:t>stellt eine Abweichung zu den Prinzipien der höchst möglichen Teilnahme dar</w:t>
            </w:r>
            <w:r w:rsidRPr="001F6C97">
              <w:rPr>
                <w:rFonts w:cs="Arial"/>
                <w:i/>
                <w:noProof w:val="0"/>
                <w:color w:val="00B050"/>
                <w:lang w:val="de-DE"/>
              </w:rPr>
              <w:t xml:space="preserve"> und bringt für die Vergabestelle die Pflicht mit sich, das Vorliegen außerordentlicher Bedingungen, welche die Abweichung rechtfertigen, nachzuweisen; </w:t>
            </w:r>
            <w:r w:rsidRPr="001F6C97">
              <w:rPr>
                <w:rFonts w:cs="Arial"/>
                <w:b/>
                <w:i/>
                <w:noProof w:val="0"/>
                <w:color w:val="00B050"/>
                <w:lang w:val="de-DE"/>
              </w:rPr>
              <w:t>es muss zudem</w:t>
            </w:r>
            <w:r w:rsidRPr="001F6C97">
              <w:rPr>
                <w:rFonts w:cs="Arial"/>
                <w:i/>
                <w:noProof w:val="0"/>
                <w:color w:val="00B050"/>
                <w:lang w:val="de-DE"/>
              </w:rPr>
              <w:t xml:space="preserve"> </w:t>
            </w:r>
            <w:r w:rsidRPr="001F6C97">
              <w:rPr>
                <w:rFonts w:cs="Arial"/>
                <w:b/>
                <w:i/>
                <w:noProof w:val="0"/>
                <w:color w:val="00B050"/>
                <w:lang w:val="de-DE"/>
              </w:rPr>
              <w:t>eine angemessene und geeignete Begründung vorgebracht werden</w:t>
            </w:r>
            <w:r w:rsidRPr="001F6C97">
              <w:rPr>
                <w:rFonts w:cs="Arial"/>
                <w:i/>
                <w:noProof w:val="0"/>
                <w:color w:val="00B050"/>
                <w:lang w:val="de-DE"/>
              </w:rPr>
              <w:t xml:space="preserve">, wobei dargelegt werden muss, dass es für die Vergabestelle nicht möglich ist, </w:t>
            </w:r>
            <w:r w:rsidR="001F6C97" w:rsidRPr="001F6C97">
              <w:rPr>
                <w:rFonts w:cs="Arial"/>
                <w:i/>
                <w:noProof w:val="0"/>
                <w:color w:val="00B050"/>
                <w:lang w:val="de-DE"/>
              </w:rPr>
              <w:t xml:space="preserve">die institutionellen Anforderungen über einen uneingeschränkten Zugriff auf den Markt abzudecken. </w:t>
            </w:r>
          </w:p>
        </w:tc>
        <w:tc>
          <w:tcPr>
            <w:tcW w:w="1361" w:type="dxa"/>
          </w:tcPr>
          <w:p w14:paraId="32DF465A" w14:textId="77777777" w:rsidR="00300EF7" w:rsidRPr="003641F8" w:rsidRDefault="00300EF7" w:rsidP="003641F8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de-DE"/>
              </w:rPr>
            </w:pPr>
          </w:p>
        </w:tc>
        <w:tc>
          <w:tcPr>
            <w:tcW w:w="4139" w:type="dxa"/>
          </w:tcPr>
          <w:p w14:paraId="3A9AAE82" w14:textId="6A737872" w:rsidR="00FD2FC2" w:rsidRPr="003641F8" w:rsidRDefault="00DF5164" w:rsidP="00CC2ED7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color w:val="00B050"/>
                <w:lang w:val="it-IT"/>
              </w:rPr>
            </w:pPr>
            <w:r w:rsidRPr="003641F8">
              <w:rPr>
                <w:rFonts w:cs="Arial"/>
                <w:i/>
                <w:noProof w:val="0"/>
                <w:color w:val="00B050"/>
                <w:lang w:val="it-IT"/>
              </w:rPr>
              <w:t xml:space="preserve">Si precisa che la consultazione di mercato </w:t>
            </w:r>
            <w:r w:rsidRPr="003641F8">
              <w:rPr>
                <w:rFonts w:cs="Arial"/>
                <w:b/>
                <w:i/>
                <w:noProof w:val="0"/>
                <w:color w:val="00B050"/>
                <w:lang w:val="it-IT"/>
              </w:rPr>
              <w:t>non deve contenere requisiti di partecipazione</w:t>
            </w:r>
            <w:r w:rsidRPr="003641F8">
              <w:rPr>
                <w:rFonts w:cs="Arial"/>
                <w:i/>
                <w:noProof w:val="0"/>
                <w:color w:val="00B050"/>
                <w:lang w:val="it-IT"/>
              </w:rPr>
              <w:t xml:space="preserve"> limitativi della concorrenza. La previsione di </w:t>
            </w:r>
            <w:r w:rsidR="00FD2FC2" w:rsidRPr="003641F8">
              <w:rPr>
                <w:rFonts w:cs="Arial"/>
                <w:i/>
                <w:noProof w:val="0"/>
                <w:color w:val="00B050"/>
                <w:lang w:val="it-IT"/>
              </w:rPr>
              <w:t>requisiti minimi</w:t>
            </w:r>
            <w:r w:rsidR="00155A8A" w:rsidRPr="003641F8">
              <w:rPr>
                <w:rFonts w:cs="Arial"/>
                <w:i/>
                <w:noProof w:val="0"/>
                <w:color w:val="00B050"/>
                <w:lang w:val="it-IT"/>
              </w:rPr>
              <w:t xml:space="preserve"> di idoneità ai fini della partecipazione</w:t>
            </w:r>
            <w:r w:rsidRPr="003641F8">
              <w:rPr>
                <w:rFonts w:cs="Arial"/>
                <w:i/>
                <w:noProof w:val="0"/>
                <w:color w:val="00B050"/>
                <w:lang w:val="it-IT"/>
              </w:rPr>
              <w:t xml:space="preserve"> </w:t>
            </w:r>
            <w:r w:rsidRPr="003641F8">
              <w:rPr>
                <w:rFonts w:cs="Arial"/>
                <w:b/>
                <w:i/>
                <w:noProof w:val="0"/>
                <w:color w:val="00B050"/>
                <w:lang w:val="it-IT"/>
              </w:rPr>
              <w:t>costituisce una deroga ai principi di massima partecipazione</w:t>
            </w:r>
            <w:r w:rsidRPr="003641F8">
              <w:rPr>
                <w:rFonts w:cs="Arial"/>
                <w:i/>
                <w:noProof w:val="0"/>
                <w:color w:val="00B050"/>
                <w:lang w:val="it-IT"/>
              </w:rPr>
              <w:t xml:space="preserve"> e comporta l’onere </w:t>
            </w:r>
            <w:r w:rsidR="00CD3DAC" w:rsidRPr="003641F8">
              <w:rPr>
                <w:rFonts w:cs="Arial"/>
                <w:i/>
                <w:noProof w:val="0"/>
                <w:color w:val="00B050"/>
                <w:lang w:val="it-IT"/>
              </w:rPr>
              <w:t xml:space="preserve">per la stazione appaltante </w:t>
            </w:r>
            <w:r w:rsidRPr="003641F8">
              <w:rPr>
                <w:rFonts w:cs="Arial"/>
                <w:i/>
                <w:noProof w:val="0"/>
                <w:color w:val="00B050"/>
                <w:lang w:val="it-IT"/>
              </w:rPr>
              <w:t xml:space="preserve">di dimostrare </w:t>
            </w:r>
            <w:r w:rsidRPr="003641F8">
              <w:rPr>
                <w:rFonts w:cs="Arial"/>
                <w:b/>
                <w:i/>
                <w:noProof w:val="0"/>
                <w:color w:val="00B050"/>
                <w:lang w:val="it-IT"/>
              </w:rPr>
              <w:t>la sussistenza di condizioni eccezionali</w:t>
            </w:r>
            <w:r w:rsidRPr="003641F8">
              <w:rPr>
                <w:rFonts w:cs="Arial"/>
                <w:i/>
                <w:noProof w:val="0"/>
                <w:color w:val="00B050"/>
                <w:lang w:val="it-IT"/>
              </w:rPr>
              <w:t xml:space="preserve"> che</w:t>
            </w:r>
            <w:r w:rsidR="00A15EEF">
              <w:rPr>
                <w:rFonts w:cs="Arial"/>
                <w:i/>
                <w:noProof w:val="0"/>
                <w:color w:val="00B050"/>
                <w:lang w:val="it-IT"/>
              </w:rPr>
              <w:t xml:space="preserve"> la</w:t>
            </w:r>
            <w:r w:rsidRPr="003641F8">
              <w:rPr>
                <w:rFonts w:cs="Arial"/>
                <w:i/>
                <w:noProof w:val="0"/>
                <w:color w:val="00B050"/>
                <w:lang w:val="it-IT"/>
              </w:rPr>
              <w:t xml:space="preserve"> giustificano e </w:t>
            </w:r>
            <w:r w:rsidRPr="003641F8">
              <w:rPr>
                <w:rFonts w:cs="Arial"/>
                <w:b/>
                <w:i/>
                <w:noProof w:val="0"/>
                <w:color w:val="00B050"/>
                <w:lang w:val="it-IT"/>
              </w:rPr>
              <w:t>va supportat</w:t>
            </w:r>
            <w:r w:rsidR="00155A8A" w:rsidRPr="003641F8">
              <w:rPr>
                <w:rFonts w:cs="Arial"/>
                <w:b/>
                <w:i/>
                <w:noProof w:val="0"/>
                <w:color w:val="00B050"/>
                <w:lang w:val="it-IT"/>
              </w:rPr>
              <w:t>a</w:t>
            </w:r>
            <w:r w:rsidRPr="003641F8">
              <w:rPr>
                <w:rFonts w:cs="Arial"/>
                <w:b/>
                <w:i/>
                <w:noProof w:val="0"/>
                <w:color w:val="00B050"/>
                <w:lang w:val="it-IT"/>
              </w:rPr>
              <w:t xml:space="preserve"> con congrua e idonea motivazione</w:t>
            </w:r>
            <w:r w:rsidRPr="003641F8">
              <w:rPr>
                <w:rFonts w:cs="Arial"/>
                <w:i/>
                <w:noProof w:val="0"/>
                <w:color w:val="00B050"/>
                <w:lang w:val="it-IT"/>
              </w:rPr>
              <w:t xml:space="preserve"> </w:t>
            </w:r>
            <w:bookmarkStart w:id="5" w:name="_Hlk22207588"/>
            <w:r w:rsidRPr="003641F8">
              <w:rPr>
                <w:rFonts w:cs="Arial"/>
                <w:i/>
                <w:noProof w:val="0"/>
                <w:color w:val="00B050"/>
                <w:lang w:val="it-IT"/>
              </w:rPr>
              <w:t xml:space="preserve">che indichi l’impossibilità della stazione appaltante </w:t>
            </w:r>
            <w:r w:rsidR="00FD2FC2" w:rsidRPr="003641F8">
              <w:rPr>
                <w:rFonts w:cs="Arial"/>
                <w:i/>
                <w:noProof w:val="0"/>
                <w:color w:val="00B050"/>
                <w:lang w:val="it-IT"/>
              </w:rPr>
              <w:t xml:space="preserve">di soddisfare le proprie esigenze rivolgendosi indistintamente al mercato. </w:t>
            </w:r>
            <w:bookmarkEnd w:id="5"/>
          </w:p>
        </w:tc>
      </w:tr>
      <w:tr w:rsidR="00300EF7" w:rsidRPr="008E10B1" w14:paraId="7FA5AD57" w14:textId="77777777" w:rsidTr="000D772D">
        <w:tc>
          <w:tcPr>
            <w:tcW w:w="4139" w:type="dxa"/>
          </w:tcPr>
          <w:p w14:paraId="46CB6596" w14:textId="77777777" w:rsidR="00300EF7" w:rsidRPr="00764C00" w:rsidRDefault="00300EF7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0404FEAB" w14:textId="77777777" w:rsidR="00300EF7" w:rsidRPr="00764C00" w:rsidRDefault="00300EF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4EAA8B0F" w14:textId="77777777" w:rsidR="00300EF7" w:rsidRPr="00764C00" w:rsidRDefault="00300EF7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0D772D" w:rsidRPr="00A56E6A" w14:paraId="49DE39D7" w14:textId="77777777" w:rsidTr="000D772D">
        <w:tc>
          <w:tcPr>
            <w:tcW w:w="4139" w:type="dxa"/>
          </w:tcPr>
          <w:p w14:paraId="11F7DC38" w14:textId="13DE58D5" w:rsidR="000D772D" w:rsidRPr="00764C00" w:rsidRDefault="000D772D" w:rsidP="00275295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6CC7FC53" w14:textId="77777777" w:rsidR="000D772D" w:rsidRPr="00764C00" w:rsidRDefault="000D772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4F27EDE5" w14:textId="606167F7" w:rsidR="000D772D" w:rsidRPr="00764C00" w:rsidRDefault="000D772D" w:rsidP="00CC2ED7">
            <w:pPr>
              <w:widowControl w:val="0"/>
              <w:ind w:right="79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C87C02" w:rsidRPr="00A56E6A" w14:paraId="51930A6B" w14:textId="77777777" w:rsidTr="000D772D">
        <w:tc>
          <w:tcPr>
            <w:tcW w:w="4139" w:type="dxa"/>
          </w:tcPr>
          <w:p w14:paraId="74425043" w14:textId="77777777" w:rsidR="00C87C02" w:rsidRDefault="00C87C02" w:rsidP="00275295">
            <w:pPr>
              <w:pStyle w:val="DeutscherText"/>
              <w:spacing w:line="240" w:lineRule="auto"/>
              <w:ind w:right="78"/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361" w:type="dxa"/>
          </w:tcPr>
          <w:p w14:paraId="2F0E2316" w14:textId="77777777" w:rsidR="00C87C02" w:rsidRPr="00674773" w:rsidRDefault="00C87C02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9" w:type="dxa"/>
          </w:tcPr>
          <w:p w14:paraId="4C64C980" w14:textId="77777777" w:rsidR="00C87C02" w:rsidRDefault="00C87C02" w:rsidP="00CC2ED7">
            <w:pPr>
              <w:widowControl w:val="0"/>
              <w:ind w:right="79"/>
              <w:jc w:val="both"/>
              <w:rPr>
                <w:rFonts w:cs="Arial"/>
                <w:noProof w:val="0"/>
                <w:color w:val="0000FF"/>
                <w:sz w:val="16"/>
                <w:szCs w:val="16"/>
                <w:lang w:val="de-DE"/>
              </w:rPr>
            </w:pPr>
          </w:p>
        </w:tc>
      </w:tr>
    </w:tbl>
    <w:p w14:paraId="1EB83442" w14:textId="45CA2F00" w:rsidR="00CC2ED7" w:rsidRPr="004508AA" w:rsidRDefault="00CC2ED7" w:rsidP="00931268">
      <w:pPr>
        <w:rPr>
          <w:lang w:val="it-IT"/>
        </w:rPr>
      </w:pPr>
    </w:p>
    <w:sectPr w:rsidR="00CC2ED7" w:rsidRPr="004508AA" w:rsidSect="00A60A42">
      <w:headerReference w:type="default" r:id="rId8"/>
      <w:footerReference w:type="default" r:id="rId9"/>
      <w:footerReference w:type="first" r:id="rId10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3170" w14:textId="77777777" w:rsidR="003777CA" w:rsidRDefault="003777CA">
      <w:r>
        <w:separator/>
      </w:r>
    </w:p>
  </w:endnote>
  <w:endnote w:type="continuationSeparator" w:id="0">
    <w:p w14:paraId="2B2A6C22" w14:textId="77777777" w:rsidR="003777CA" w:rsidRDefault="003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319449"/>
      <w:docPartObj>
        <w:docPartGallery w:val="Page Numbers (Bottom of Page)"/>
        <w:docPartUnique/>
      </w:docPartObj>
    </w:sdtPr>
    <w:sdtEndPr/>
    <w:sdtContent>
      <w:p w14:paraId="51C7B2CC" w14:textId="6035C41E" w:rsidR="00097580" w:rsidRDefault="0009758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3CBCC68F" w14:textId="77777777" w:rsidR="00401F21" w:rsidRDefault="00401F21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3F1C" w14:textId="77777777" w:rsidR="00401F21" w:rsidRDefault="00401F21">
    <w:pPr>
      <w:rPr>
        <w:sz w:val="16"/>
      </w:rPr>
    </w:pPr>
  </w:p>
  <w:p w14:paraId="39C3FF7F" w14:textId="77777777" w:rsidR="00401F21" w:rsidRPr="00F46622" w:rsidRDefault="00401F21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46CA" w14:textId="77777777" w:rsidR="003777CA" w:rsidRDefault="003777CA">
      <w:r>
        <w:separator/>
      </w:r>
    </w:p>
  </w:footnote>
  <w:footnote w:type="continuationSeparator" w:id="0">
    <w:p w14:paraId="46C12250" w14:textId="77777777" w:rsidR="003777CA" w:rsidRDefault="0037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5CD3" w14:textId="77777777" w:rsidR="00401F21" w:rsidRDefault="00401F21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21"/>
    <w:multiLevelType w:val="hybridMultilevel"/>
    <w:tmpl w:val="31FC1670"/>
    <w:lvl w:ilvl="0" w:tplc="4C00222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16E4"/>
    <w:multiLevelType w:val="hybridMultilevel"/>
    <w:tmpl w:val="1A72C600"/>
    <w:lvl w:ilvl="0" w:tplc="8CD40C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180"/>
    <w:multiLevelType w:val="hybridMultilevel"/>
    <w:tmpl w:val="A68E1B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4F32BF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2" w:tplc="A2A4DDC2">
      <w:numFmt w:val="bullet"/>
      <w:lvlText w:val="-"/>
      <w:lvlJc w:val="left"/>
      <w:pPr>
        <w:tabs>
          <w:tab w:val="num" w:pos="2100"/>
        </w:tabs>
        <w:ind w:left="2100" w:hanging="480"/>
      </w:pPr>
      <w:rPr>
        <w:rFonts w:ascii="Arial" w:eastAsia="Calibri" w:hAnsi="Arial" w:cs="Aria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C5465"/>
    <w:multiLevelType w:val="hybridMultilevel"/>
    <w:tmpl w:val="DEAE76B2"/>
    <w:lvl w:ilvl="0" w:tplc="E0469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4E4"/>
    <w:multiLevelType w:val="hybridMultilevel"/>
    <w:tmpl w:val="9A7ABE92"/>
    <w:lvl w:ilvl="0" w:tplc="E4D69B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B5295"/>
    <w:multiLevelType w:val="hybridMultilevel"/>
    <w:tmpl w:val="BB3A290A"/>
    <w:lvl w:ilvl="0" w:tplc="A2A4DD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B8D"/>
    <w:multiLevelType w:val="hybridMultilevel"/>
    <w:tmpl w:val="8BE2F99E"/>
    <w:lvl w:ilvl="0" w:tplc="386CE3D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90A76"/>
    <w:multiLevelType w:val="hybridMultilevel"/>
    <w:tmpl w:val="BF4EAFF8"/>
    <w:lvl w:ilvl="0" w:tplc="574C66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508F"/>
    <w:multiLevelType w:val="hybridMultilevel"/>
    <w:tmpl w:val="93189D5A"/>
    <w:lvl w:ilvl="0" w:tplc="7E9A6A7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17022"/>
    <w:multiLevelType w:val="hybridMultilevel"/>
    <w:tmpl w:val="181E9BFA"/>
    <w:lvl w:ilvl="0" w:tplc="DAFC87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vanish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30216"/>
    <w:multiLevelType w:val="hybridMultilevel"/>
    <w:tmpl w:val="6C70754E"/>
    <w:lvl w:ilvl="0" w:tplc="A2A4DD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2B6F"/>
    <w:multiLevelType w:val="hybridMultilevel"/>
    <w:tmpl w:val="F92230D8"/>
    <w:lvl w:ilvl="0" w:tplc="48762C1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E7047"/>
    <w:multiLevelType w:val="hybridMultilevel"/>
    <w:tmpl w:val="33000A80"/>
    <w:lvl w:ilvl="0" w:tplc="840C28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12B6A"/>
    <w:multiLevelType w:val="hybridMultilevel"/>
    <w:tmpl w:val="91A83DB6"/>
    <w:lvl w:ilvl="0" w:tplc="664288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D6E3E"/>
    <w:multiLevelType w:val="hybridMultilevel"/>
    <w:tmpl w:val="1054E214"/>
    <w:lvl w:ilvl="0" w:tplc="8CE478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666C"/>
    <w:multiLevelType w:val="hybridMultilevel"/>
    <w:tmpl w:val="44420188"/>
    <w:lvl w:ilvl="0" w:tplc="66D2F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13551"/>
    <w:multiLevelType w:val="hybridMultilevel"/>
    <w:tmpl w:val="53041768"/>
    <w:lvl w:ilvl="0" w:tplc="114E5E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862477">
    <w:abstractNumId w:val="9"/>
  </w:num>
  <w:num w:numId="2" w16cid:durableId="560484052">
    <w:abstractNumId w:val="15"/>
  </w:num>
  <w:num w:numId="3" w16cid:durableId="1909997162">
    <w:abstractNumId w:val="3"/>
  </w:num>
  <w:num w:numId="4" w16cid:durableId="899098411">
    <w:abstractNumId w:val="16"/>
  </w:num>
  <w:num w:numId="5" w16cid:durableId="961036686">
    <w:abstractNumId w:val="2"/>
  </w:num>
  <w:num w:numId="6" w16cid:durableId="1938907752">
    <w:abstractNumId w:val="12"/>
  </w:num>
  <w:num w:numId="7" w16cid:durableId="2080250558">
    <w:abstractNumId w:val="7"/>
  </w:num>
  <w:num w:numId="8" w16cid:durableId="1267691595">
    <w:abstractNumId w:val="1"/>
  </w:num>
  <w:num w:numId="9" w16cid:durableId="1034114508">
    <w:abstractNumId w:val="0"/>
  </w:num>
  <w:num w:numId="10" w16cid:durableId="411659800">
    <w:abstractNumId w:val="11"/>
  </w:num>
  <w:num w:numId="11" w16cid:durableId="817188751">
    <w:abstractNumId w:val="4"/>
  </w:num>
  <w:num w:numId="12" w16cid:durableId="1478766538">
    <w:abstractNumId w:val="5"/>
  </w:num>
  <w:num w:numId="13" w16cid:durableId="1538086368">
    <w:abstractNumId w:val="10"/>
  </w:num>
  <w:num w:numId="14" w16cid:durableId="1829249639">
    <w:abstractNumId w:val="8"/>
  </w:num>
  <w:num w:numId="15" w16cid:durableId="205064186">
    <w:abstractNumId w:val="14"/>
  </w:num>
  <w:num w:numId="16" w16cid:durableId="826677476">
    <w:abstractNumId w:val="6"/>
  </w:num>
  <w:num w:numId="17" w16cid:durableId="4252720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65"/>
    <w:rsid w:val="000479F7"/>
    <w:rsid w:val="00062411"/>
    <w:rsid w:val="00063B79"/>
    <w:rsid w:val="00066442"/>
    <w:rsid w:val="00066928"/>
    <w:rsid w:val="00087832"/>
    <w:rsid w:val="00093593"/>
    <w:rsid w:val="00093CC0"/>
    <w:rsid w:val="00096995"/>
    <w:rsid w:val="00097580"/>
    <w:rsid w:val="000A42B9"/>
    <w:rsid w:val="000B03F0"/>
    <w:rsid w:val="000C0E71"/>
    <w:rsid w:val="000D383F"/>
    <w:rsid w:val="000D5C25"/>
    <w:rsid w:val="000D772D"/>
    <w:rsid w:val="000E6207"/>
    <w:rsid w:val="000F17E1"/>
    <w:rsid w:val="00103F94"/>
    <w:rsid w:val="00113176"/>
    <w:rsid w:val="00114082"/>
    <w:rsid w:val="0011559E"/>
    <w:rsid w:val="00145D65"/>
    <w:rsid w:val="00155A8A"/>
    <w:rsid w:val="001618E3"/>
    <w:rsid w:val="00163246"/>
    <w:rsid w:val="00174155"/>
    <w:rsid w:val="00181542"/>
    <w:rsid w:val="00182754"/>
    <w:rsid w:val="001935A4"/>
    <w:rsid w:val="00193F8E"/>
    <w:rsid w:val="00196512"/>
    <w:rsid w:val="001A1535"/>
    <w:rsid w:val="001C00A2"/>
    <w:rsid w:val="001C417B"/>
    <w:rsid w:val="001D6D33"/>
    <w:rsid w:val="001E3B91"/>
    <w:rsid w:val="001E61C7"/>
    <w:rsid w:val="001F6C97"/>
    <w:rsid w:val="001F7897"/>
    <w:rsid w:val="00201A36"/>
    <w:rsid w:val="00205E11"/>
    <w:rsid w:val="0022152D"/>
    <w:rsid w:val="002244B2"/>
    <w:rsid w:val="00225287"/>
    <w:rsid w:val="0025070C"/>
    <w:rsid w:val="00264ECE"/>
    <w:rsid w:val="00275295"/>
    <w:rsid w:val="00276138"/>
    <w:rsid w:val="00277435"/>
    <w:rsid w:val="00292A6D"/>
    <w:rsid w:val="00293A80"/>
    <w:rsid w:val="00294F2A"/>
    <w:rsid w:val="002A6754"/>
    <w:rsid w:val="002D0D1D"/>
    <w:rsid w:val="002D234C"/>
    <w:rsid w:val="002D3D4A"/>
    <w:rsid w:val="002E6DA5"/>
    <w:rsid w:val="002E7D64"/>
    <w:rsid w:val="002F78DB"/>
    <w:rsid w:val="00300DA6"/>
    <w:rsid w:val="00300EF7"/>
    <w:rsid w:val="00312B42"/>
    <w:rsid w:val="0031527A"/>
    <w:rsid w:val="00315EB8"/>
    <w:rsid w:val="00322982"/>
    <w:rsid w:val="00330609"/>
    <w:rsid w:val="00335014"/>
    <w:rsid w:val="00337B8A"/>
    <w:rsid w:val="003454BE"/>
    <w:rsid w:val="00350367"/>
    <w:rsid w:val="0035042C"/>
    <w:rsid w:val="003641F8"/>
    <w:rsid w:val="003655FC"/>
    <w:rsid w:val="00366FE3"/>
    <w:rsid w:val="0037345E"/>
    <w:rsid w:val="003777CA"/>
    <w:rsid w:val="00390A5E"/>
    <w:rsid w:val="003A013C"/>
    <w:rsid w:val="003A6025"/>
    <w:rsid w:val="003A7312"/>
    <w:rsid w:val="003B429A"/>
    <w:rsid w:val="003C2669"/>
    <w:rsid w:val="003F0E6A"/>
    <w:rsid w:val="00400B6A"/>
    <w:rsid w:val="00401F21"/>
    <w:rsid w:val="00404795"/>
    <w:rsid w:val="00414C8A"/>
    <w:rsid w:val="0042604F"/>
    <w:rsid w:val="004428C0"/>
    <w:rsid w:val="00442BBA"/>
    <w:rsid w:val="004508AA"/>
    <w:rsid w:val="00451BCE"/>
    <w:rsid w:val="00452941"/>
    <w:rsid w:val="004745DE"/>
    <w:rsid w:val="00490267"/>
    <w:rsid w:val="00496E56"/>
    <w:rsid w:val="004B0817"/>
    <w:rsid w:val="004B3DB5"/>
    <w:rsid w:val="004C1077"/>
    <w:rsid w:val="004C1D37"/>
    <w:rsid w:val="004C4F08"/>
    <w:rsid w:val="004C5B39"/>
    <w:rsid w:val="004D17EC"/>
    <w:rsid w:val="004E2B05"/>
    <w:rsid w:val="004E3F94"/>
    <w:rsid w:val="004F4BD4"/>
    <w:rsid w:val="005251FD"/>
    <w:rsid w:val="00533E3E"/>
    <w:rsid w:val="0054029B"/>
    <w:rsid w:val="005427C9"/>
    <w:rsid w:val="00553059"/>
    <w:rsid w:val="005645E6"/>
    <w:rsid w:val="0057124B"/>
    <w:rsid w:val="0057330C"/>
    <w:rsid w:val="00574EEF"/>
    <w:rsid w:val="00587D1F"/>
    <w:rsid w:val="005C10C7"/>
    <w:rsid w:val="005D6349"/>
    <w:rsid w:val="005E5252"/>
    <w:rsid w:val="005E56EA"/>
    <w:rsid w:val="005E6A3B"/>
    <w:rsid w:val="005E7EF3"/>
    <w:rsid w:val="005F773A"/>
    <w:rsid w:val="00600FDE"/>
    <w:rsid w:val="006036A4"/>
    <w:rsid w:val="00621D99"/>
    <w:rsid w:val="00630BA3"/>
    <w:rsid w:val="00630EE5"/>
    <w:rsid w:val="00643432"/>
    <w:rsid w:val="00644E59"/>
    <w:rsid w:val="0064748F"/>
    <w:rsid w:val="006548A7"/>
    <w:rsid w:val="00674773"/>
    <w:rsid w:val="00675D3E"/>
    <w:rsid w:val="00682D0E"/>
    <w:rsid w:val="00684BB6"/>
    <w:rsid w:val="006A6B0E"/>
    <w:rsid w:val="006B7A19"/>
    <w:rsid w:val="006C43DD"/>
    <w:rsid w:val="006E3CD9"/>
    <w:rsid w:val="006E4396"/>
    <w:rsid w:val="006E6E0D"/>
    <w:rsid w:val="006F70B4"/>
    <w:rsid w:val="00700029"/>
    <w:rsid w:val="00712DFA"/>
    <w:rsid w:val="007142A7"/>
    <w:rsid w:val="00730892"/>
    <w:rsid w:val="007424F5"/>
    <w:rsid w:val="00745A1C"/>
    <w:rsid w:val="00746197"/>
    <w:rsid w:val="00751E21"/>
    <w:rsid w:val="0075326E"/>
    <w:rsid w:val="0076171B"/>
    <w:rsid w:val="007638AD"/>
    <w:rsid w:val="00764C00"/>
    <w:rsid w:val="00766F75"/>
    <w:rsid w:val="00770958"/>
    <w:rsid w:val="00770F71"/>
    <w:rsid w:val="00771814"/>
    <w:rsid w:val="00780C07"/>
    <w:rsid w:val="00797A7F"/>
    <w:rsid w:val="007A31F3"/>
    <w:rsid w:val="007A4366"/>
    <w:rsid w:val="007B0E52"/>
    <w:rsid w:val="007C2D93"/>
    <w:rsid w:val="007C4091"/>
    <w:rsid w:val="007D53EF"/>
    <w:rsid w:val="007E019D"/>
    <w:rsid w:val="007E533A"/>
    <w:rsid w:val="007E6052"/>
    <w:rsid w:val="00801CD6"/>
    <w:rsid w:val="00812B6A"/>
    <w:rsid w:val="008162A6"/>
    <w:rsid w:val="008168CC"/>
    <w:rsid w:val="00830B00"/>
    <w:rsid w:val="00833D62"/>
    <w:rsid w:val="008355FD"/>
    <w:rsid w:val="00845922"/>
    <w:rsid w:val="00871E56"/>
    <w:rsid w:val="00872F23"/>
    <w:rsid w:val="00875CCE"/>
    <w:rsid w:val="00891381"/>
    <w:rsid w:val="00892076"/>
    <w:rsid w:val="008952CF"/>
    <w:rsid w:val="008977D4"/>
    <w:rsid w:val="008A1CC9"/>
    <w:rsid w:val="008B0FA5"/>
    <w:rsid w:val="008B180A"/>
    <w:rsid w:val="008B201A"/>
    <w:rsid w:val="008B3777"/>
    <w:rsid w:val="008B4F1A"/>
    <w:rsid w:val="008C58B5"/>
    <w:rsid w:val="008D1365"/>
    <w:rsid w:val="008E10B1"/>
    <w:rsid w:val="008F4325"/>
    <w:rsid w:val="009019E7"/>
    <w:rsid w:val="0091274D"/>
    <w:rsid w:val="00914AB4"/>
    <w:rsid w:val="00920A17"/>
    <w:rsid w:val="00931268"/>
    <w:rsid w:val="009328A1"/>
    <w:rsid w:val="00936D54"/>
    <w:rsid w:val="00942FCB"/>
    <w:rsid w:val="009461BC"/>
    <w:rsid w:val="00946657"/>
    <w:rsid w:val="009549EC"/>
    <w:rsid w:val="009626B7"/>
    <w:rsid w:val="009709B6"/>
    <w:rsid w:val="009730E9"/>
    <w:rsid w:val="00975DB9"/>
    <w:rsid w:val="009805E5"/>
    <w:rsid w:val="009872EB"/>
    <w:rsid w:val="009909AE"/>
    <w:rsid w:val="009936EB"/>
    <w:rsid w:val="009A3EF4"/>
    <w:rsid w:val="009A4E0D"/>
    <w:rsid w:val="009B0B10"/>
    <w:rsid w:val="009B30EF"/>
    <w:rsid w:val="009C3C39"/>
    <w:rsid w:val="009C7621"/>
    <w:rsid w:val="009D54EF"/>
    <w:rsid w:val="009F5502"/>
    <w:rsid w:val="00A15EEF"/>
    <w:rsid w:val="00A26D2D"/>
    <w:rsid w:val="00A35C2E"/>
    <w:rsid w:val="00A428BA"/>
    <w:rsid w:val="00A5420E"/>
    <w:rsid w:val="00A56E6A"/>
    <w:rsid w:val="00A600B7"/>
    <w:rsid w:val="00A60A42"/>
    <w:rsid w:val="00A650FA"/>
    <w:rsid w:val="00A707E3"/>
    <w:rsid w:val="00A72801"/>
    <w:rsid w:val="00A841B9"/>
    <w:rsid w:val="00A90429"/>
    <w:rsid w:val="00A95215"/>
    <w:rsid w:val="00A967FB"/>
    <w:rsid w:val="00AB1ADE"/>
    <w:rsid w:val="00AB5B63"/>
    <w:rsid w:val="00AC061B"/>
    <w:rsid w:val="00AC425C"/>
    <w:rsid w:val="00AD5994"/>
    <w:rsid w:val="00AE06B5"/>
    <w:rsid w:val="00AE0E97"/>
    <w:rsid w:val="00AF0230"/>
    <w:rsid w:val="00B0044D"/>
    <w:rsid w:val="00B05AD7"/>
    <w:rsid w:val="00B07601"/>
    <w:rsid w:val="00B1730C"/>
    <w:rsid w:val="00B17359"/>
    <w:rsid w:val="00B206E4"/>
    <w:rsid w:val="00B22217"/>
    <w:rsid w:val="00B34098"/>
    <w:rsid w:val="00B44D37"/>
    <w:rsid w:val="00B53182"/>
    <w:rsid w:val="00B676C1"/>
    <w:rsid w:val="00B77744"/>
    <w:rsid w:val="00B8282C"/>
    <w:rsid w:val="00B82AE2"/>
    <w:rsid w:val="00B94166"/>
    <w:rsid w:val="00BA2F48"/>
    <w:rsid w:val="00BC2AE4"/>
    <w:rsid w:val="00BC2D0F"/>
    <w:rsid w:val="00BC5964"/>
    <w:rsid w:val="00BD15CD"/>
    <w:rsid w:val="00BE71EE"/>
    <w:rsid w:val="00C1356A"/>
    <w:rsid w:val="00C16121"/>
    <w:rsid w:val="00C25726"/>
    <w:rsid w:val="00C5097F"/>
    <w:rsid w:val="00C52AB2"/>
    <w:rsid w:val="00C552DC"/>
    <w:rsid w:val="00C7448D"/>
    <w:rsid w:val="00C75D24"/>
    <w:rsid w:val="00C77978"/>
    <w:rsid w:val="00C81439"/>
    <w:rsid w:val="00C85BE5"/>
    <w:rsid w:val="00C87C02"/>
    <w:rsid w:val="00C908DB"/>
    <w:rsid w:val="00C91FB7"/>
    <w:rsid w:val="00C9338D"/>
    <w:rsid w:val="00C93F00"/>
    <w:rsid w:val="00C948D1"/>
    <w:rsid w:val="00C97200"/>
    <w:rsid w:val="00CA3E59"/>
    <w:rsid w:val="00CB5ACB"/>
    <w:rsid w:val="00CC2ED7"/>
    <w:rsid w:val="00CD02EC"/>
    <w:rsid w:val="00CD0557"/>
    <w:rsid w:val="00CD2BEA"/>
    <w:rsid w:val="00CD3DAC"/>
    <w:rsid w:val="00CD55FC"/>
    <w:rsid w:val="00CD591A"/>
    <w:rsid w:val="00CE4F27"/>
    <w:rsid w:val="00CE5A9E"/>
    <w:rsid w:val="00CF26EC"/>
    <w:rsid w:val="00D016E1"/>
    <w:rsid w:val="00D06A9F"/>
    <w:rsid w:val="00D07CA5"/>
    <w:rsid w:val="00D10286"/>
    <w:rsid w:val="00D12330"/>
    <w:rsid w:val="00D26482"/>
    <w:rsid w:val="00D4496B"/>
    <w:rsid w:val="00D451BA"/>
    <w:rsid w:val="00D55C0F"/>
    <w:rsid w:val="00D64783"/>
    <w:rsid w:val="00D8482A"/>
    <w:rsid w:val="00D95FD4"/>
    <w:rsid w:val="00DB5130"/>
    <w:rsid w:val="00DB5341"/>
    <w:rsid w:val="00DB759F"/>
    <w:rsid w:val="00DC1585"/>
    <w:rsid w:val="00DE5F06"/>
    <w:rsid w:val="00DF40A3"/>
    <w:rsid w:val="00DF5164"/>
    <w:rsid w:val="00E010BE"/>
    <w:rsid w:val="00E034FF"/>
    <w:rsid w:val="00E044C7"/>
    <w:rsid w:val="00E07317"/>
    <w:rsid w:val="00E30925"/>
    <w:rsid w:val="00E405FE"/>
    <w:rsid w:val="00E62161"/>
    <w:rsid w:val="00E7179D"/>
    <w:rsid w:val="00E73B0E"/>
    <w:rsid w:val="00E81B81"/>
    <w:rsid w:val="00E87FEA"/>
    <w:rsid w:val="00EA2111"/>
    <w:rsid w:val="00EA7790"/>
    <w:rsid w:val="00EB55BF"/>
    <w:rsid w:val="00EB77A9"/>
    <w:rsid w:val="00EC06FE"/>
    <w:rsid w:val="00EC4CEF"/>
    <w:rsid w:val="00ED4FC5"/>
    <w:rsid w:val="00ED5A68"/>
    <w:rsid w:val="00EE5798"/>
    <w:rsid w:val="00EF1D81"/>
    <w:rsid w:val="00F20006"/>
    <w:rsid w:val="00F202E6"/>
    <w:rsid w:val="00F42A0C"/>
    <w:rsid w:val="00F6203A"/>
    <w:rsid w:val="00F672C8"/>
    <w:rsid w:val="00FB297B"/>
    <w:rsid w:val="00FB7A42"/>
    <w:rsid w:val="00FD1AEF"/>
    <w:rsid w:val="00F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88C0899"/>
  <w15:chartTrackingRefBased/>
  <w15:docId w15:val="{0F0E4274-B6A0-4799-9144-45CBFBCE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B7A4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4E2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25A8"/>
    <w:rPr>
      <w:rFonts w:ascii="Tahoma" w:hAnsi="Tahoma" w:cs="Tahoma"/>
      <w:noProof/>
      <w:sz w:val="16"/>
      <w:szCs w:val="16"/>
    </w:rPr>
  </w:style>
  <w:style w:type="paragraph" w:customStyle="1" w:styleId="CharCarattere1CharZchnZchnCarattereCarattereZchnZchnCarattereCarattereZchnZchnCarattereCarattereZchnZchn">
    <w:name w:val="Char Carattere1 Char Zchn Zchn Carattere Carattere Zchn Zchn Carattere Carattere Zchn Zchn Carattere Carattere Zchn Zchn"/>
    <w:basedOn w:val="Normale"/>
    <w:rsid w:val="00E7179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tand">
    <w:name w:val="stand"/>
    <w:basedOn w:val="Normale"/>
    <w:rsid w:val="004508AA"/>
    <w:pPr>
      <w:jc w:val="both"/>
    </w:pPr>
    <w:rPr>
      <w:rFonts w:ascii="Times New Roman" w:hAnsi="Times New Roman"/>
      <w:noProof w:val="0"/>
      <w:sz w:val="24"/>
      <w:lang w:val="de-DE" w:eastAsia="it-IT"/>
    </w:rPr>
  </w:style>
  <w:style w:type="character" w:customStyle="1" w:styleId="IntestazioneCarattere">
    <w:name w:val="Intestazione Carattere"/>
    <w:link w:val="Intestazione"/>
    <w:uiPriority w:val="99"/>
    <w:rsid w:val="00EB77A9"/>
    <w:rPr>
      <w:rFonts w:ascii="Arial" w:hAnsi="Arial"/>
      <w:noProof/>
      <w:lang w:val="en-US" w:eastAsia="en-US"/>
    </w:rPr>
  </w:style>
  <w:style w:type="character" w:styleId="Rimandocommento">
    <w:name w:val="annotation reference"/>
    <w:rsid w:val="00C257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25726"/>
  </w:style>
  <w:style w:type="character" w:customStyle="1" w:styleId="TestocommentoCarattere">
    <w:name w:val="Testo commento Carattere"/>
    <w:link w:val="Testocommento"/>
    <w:rsid w:val="00C25726"/>
    <w:rPr>
      <w:rFonts w:ascii="Arial" w:hAnsi="Arial"/>
      <w:noProof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C25726"/>
    <w:rPr>
      <w:b/>
      <w:bCs/>
    </w:rPr>
  </w:style>
  <w:style w:type="character" w:customStyle="1" w:styleId="SoggettocommentoCarattere">
    <w:name w:val="Soggetto commento Carattere"/>
    <w:link w:val="Soggettocommento"/>
    <w:rsid w:val="00C25726"/>
    <w:rPr>
      <w:rFonts w:ascii="Arial" w:hAnsi="Arial"/>
      <w:b/>
      <w:bCs/>
      <w:noProof/>
      <w:lang w:val="en-US" w:eastAsia="en-US"/>
    </w:rPr>
  </w:style>
  <w:style w:type="paragraph" w:styleId="Paragrafoelenco">
    <w:name w:val="List Paragraph"/>
    <w:basedOn w:val="Normale"/>
    <w:uiPriority w:val="34"/>
    <w:qFormat/>
    <w:rsid w:val="0054029B"/>
    <w:pPr>
      <w:ind w:left="720"/>
      <w:contextualSpacing/>
    </w:pPr>
  </w:style>
  <w:style w:type="table" w:styleId="Grigliatabella">
    <w:name w:val="Table Grid"/>
    <w:basedOn w:val="Tabellanormale"/>
    <w:rsid w:val="009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semiHidden/>
    <w:rsid w:val="00FB7A42"/>
    <w:rPr>
      <w:rFonts w:ascii="Calibri Light" w:eastAsia="Times New Roman" w:hAnsi="Calibri Light" w:cs="Times New Roman"/>
      <w:i/>
      <w:iCs/>
      <w:noProof/>
      <w:color w:val="2E74B5"/>
      <w:lang w:val="en-US" w:eastAsia="en-US"/>
    </w:rPr>
  </w:style>
  <w:style w:type="character" w:customStyle="1" w:styleId="destacadorosa">
    <w:name w:val="destacado_rosa"/>
    <w:basedOn w:val="Carpredefinitoparagrafo"/>
    <w:rsid w:val="00FB7A42"/>
  </w:style>
  <w:style w:type="paragraph" w:customStyle="1" w:styleId="Dataluogo">
    <w:name w:val="Data (luogo)"/>
    <w:basedOn w:val="Normale"/>
    <w:rsid w:val="00771814"/>
    <w:pPr>
      <w:spacing w:line="220" w:lineRule="exact"/>
    </w:pPr>
    <w:rPr>
      <w:noProof w:val="0"/>
      <w:sz w:val="16"/>
      <w:lang w:val="it-IT" w:eastAsia="it-IT"/>
    </w:rPr>
  </w:style>
  <w:style w:type="paragraph" w:customStyle="1" w:styleId="Default">
    <w:name w:val="Default"/>
    <w:rsid w:val="00CD591A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580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34599\AppData\Local\Temp\468828_Avvio_consultazione_preliminare_di_mercato_con_LP_16-2015-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82A9-31AA-420A-9A80-961B43B1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468828_Avvio_consultazione_preliminare_di_mercato_con_LP_16-2015-1.dot</Template>
  <TotalTime>0</TotalTime>
  <Pages>6</Pages>
  <Words>2488</Words>
  <Characters>17179</Characters>
  <Application>Microsoft Office Word</Application>
  <DocSecurity>0</DocSecurity>
  <Lines>143</Lines>
  <Paragraphs>39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Paltrinieri, Roberta</dc:creator>
  <cp:keywords/>
  <cp:lastModifiedBy>Gavatta, Antonella</cp:lastModifiedBy>
  <cp:revision>4</cp:revision>
  <cp:lastPrinted>2019-05-15T08:09:00Z</cp:lastPrinted>
  <dcterms:created xsi:type="dcterms:W3CDTF">2023-08-03T11:30:00Z</dcterms:created>
  <dcterms:modified xsi:type="dcterms:W3CDTF">2023-08-03T11:34:00Z</dcterms:modified>
</cp:coreProperties>
</file>