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3F" w:rsidRPr="009A2C71" w:rsidRDefault="009A2C71" w:rsidP="00F4043F">
      <w:pPr>
        <w:jc w:val="center"/>
        <w:rPr>
          <w:b/>
          <w:bCs/>
          <w:i/>
          <w:iCs/>
          <w:color w:val="002060"/>
          <w:sz w:val="24"/>
          <w:szCs w:val="24"/>
        </w:rPr>
      </w:pPr>
      <w:bookmarkStart w:id="0" w:name="_GoBack"/>
      <w:bookmarkEnd w:id="0"/>
      <w:r w:rsidRPr="009A2C71">
        <w:rPr>
          <w:b/>
          <w:bCs/>
          <w:i/>
          <w:iCs/>
          <w:color w:val="002060"/>
          <w:sz w:val="24"/>
          <w:szCs w:val="24"/>
        </w:rPr>
        <w:t>Beirates zur Gewährleistung der Gleichbehand</w:t>
      </w:r>
      <w:r w:rsidRPr="009A2C71">
        <w:rPr>
          <w:b/>
          <w:bCs/>
          <w:i/>
          <w:iCs/>
          <w:color w:val="002060"/>
          <w:sz w:val="24"/>
          <w:szCs w:val="24"/>
        </w:rPr>
        <w:softHyphen/>
        <w:t>lung und des Wohlbefindens am Arbeitsplatz sowie gegen die Diskriminierung</w:t>
      </w:r>
    </w:p>
    <w:p w:rsidR="0038714B" w:rsidRDefault="0038714B" w:rsidP="00F4043F">
      <w:pPr>
        <w:jc w:val="both"/>
      </w:pPr>
    </w:p>
    <w:p w:rsidR="00214D6C" w:rsidRDefault="00214D6C" w:rsidP="00F4043F">
      <w:pPr>
        <w:jc w:val="both"/>
      </w:pPr>
    </w:p>
    <w:p w:rsidR="009A2C71" w:rsidRPr="009A2C71" w:rsidRDefault="009A2C71" w:rsidP="009A2C71">
      <w:pPr>
        <w:jc w:val="center"/>
        <w:rPr>
          <w:b/>
          <w:bCs/>
          <w:i/>
          <w:iCs/>
          <w:color w:val="002060"/>
          <w:sz w:val="32"/>
          <w:szCs w:val="32"/>
        </w:rPr>
      </w:pPr>
      <w:r w:rsidRPr="009A2C71">
        <w:rPr>
          <w:b/>
          <w:bCs/>
          <w:i/>
          <w:iCs/>
          <w:color w:val="002060"/>
          <w:sz w:val="32"/>
          <w:szCs w:val="32"/>
        </w:rPr>
        <w:t>Vorschläge für das Omnibusgesetz</w:t>
      </w:r>
    </w:p>
    <w:p w:rsidR="0038714B" w:rsidRDefault="0038714B" w:rsidP="00F4043F">
      <w:pPr>
        <w:jc w:val="both"/>
      </w:pPr>
    </w:p>
    <w:p w:rsidR="00F4043F" w:rsidRDefault="00F4043F" w:rsidP="00F4043F">
      <w:pPr>
        <w:jc w:val="both"/>
      </w:pPr>
    </w:p>
    <w:p w:rsidR="00F4043F" w:rsidRPr="000073D4" w:rsidRDefault="00960897" w:rsidP="00F4043F">
      <w:pPr>
        <w:pStyle w:val="Listenabsatz"/>
        <w:numPr>
          <w:ilvl w:val="0"/>
          <w:numId w:val="1"/>
        </w:numPr>
        <w:ind w:left="284" w:hanging="284"/>
        <w:contextualSpacing/>
        <w:rPr>
          <w:b/>
          <w:bCs/>
          <w:i/>
          <w:iCs/>
          <w:color w:val="002060"/>
          <w:sz w:val="24"/>
          <w:szCs w:val="24"/>
        </w:rPr>
      </w:pPr>
      <w:r>
        <w:rPr>
          <w:b/>
          <w:bCs/>
          <w:i/>
          <w:iCs/>
          <w:color w:val="002060"/>
          <w:sz w:val="24"/>
          <w:szCs w:val="24"/>
        </w:rPr>
        <w:t xml:space="preserve">Einführung von </w:t>
      </w:r>
      <w:r w:rsidR="00F4043F" w:rsidRPr="009A2C71">
        <w:rPr>
          <w:b/>
          <w:bCs/>
          <w:i/>
          <w:iCs/>
          <w:color w:val="002060"/>
          <w:sz w:val="24"/>
          <w:szCs w:val="24"/>
        </w:rPr>
        <w:t>Smart</w:t>
      </w:r>
      <w:r w:rsidR="00F4043F" w:rsidRPr="000073D4">
        <w:rPr>
          <w:b/>
          <w:bCs/>
          <w:i/>
          <w:iCs/>
          <w:color w:val="002060"/>
          <w:sz w:val="24"/>
          <w:szCs w:val="24"/>
        </w:rPr>
        <w:t xml:space="preserve"> work (Staatsgesetz Nr. 81/2017)</w:t>
      </w:r>
      <w:r w:rsidR="000073D4" w:rsidRPr="000073D4">
        <w:rPr>
          <w:b/>
          <w:bCs/>
          <w:i/>
          <w:iCs/>
          <w:color w:val="002060"/>
          <w:sz w:val="24"/>
          <w:szCs w:val="24"/>
        </w:rPr>
        <w:t xml:space="preserve"> </w:t>
      </w:r>
    </w:p>
    <w:p w:rsidR="00F4043F" w:rsidRDefault="002E0389" w:rsidP="00F4043F">
      <w:pPr>
        <w:ind w:left="284"/>
      </w:pPr>
      <w:r>
        <w:t xml:space="preserve">Landesbestimmung soll entweder das Staatsgesetz übernehmen bzw. </w:t>
      </w:r>
      <w:r w:rsidR="00F0038B">
        <w:t xml:space="preserve">smart work </w:t>
      </w:r>
      <w:r>
        <w:t xml:space="preserve">selbst generell einführen </w:t>
      </w:r>
      <w:r w:rsidR="00F4043F">
        <w:t>und für dessen Umsetzung auf die Vertragstätigkeit verweisen.</w:t>
      </w:r>
      <w:r w:rsidR="007E64F8">
        <w:t xml:space="preserve"> Allerdings wäre es dann gut, zumindest für diese Themen </w:t>
      </w:r>
      <w:r>
        <w:t xml:space="preserve">rasch </w:t>
      </w:r>
      <w:r w:rsidR="007E64F8">
        <w:t>Ver</w:t>
      </w:r>
      <w:r>
        <w:t>handlungs</w:t>
      </w:r>
      <w:r w:rsidR="007E64F8">
        <w:t>tisch</w:t>
      </w:r>
      <w:r w:rsidR="005B76DB">
        <w:t>e</w:t>
      </w:r>
      <w:r w:rsidR="007E64F8">
        <w:t xml:space="preserve"> eröffnen</w:t>
      </w:r>
      <w:r w:rsidR="005B76DB">
        <w:t>.</w:t>
      </w:r>
    </w:p>
    <w:p w:rsidR="0038714B" w:rsidRPr="00214D6C" w:rsidRDefault="0038714B" w:rsidP="00F4043F">
      <w:pPr>
        <w:ind w:left="284"/>
        <w:rPr>
          <w:sz w:val="16"/>
          <w:szCs w:val="16"/>
        </w:rPr>
      </w:pPr>
    </w:p>
    <w:p w:rsidR="00F4043F" w:rsidRPr="000073D4" w:rsidRDefault="00960897" w:rsidP="00F4043F">
      <w:pPr>
        <w:pStyle w:val="Listenabsatz"/>
        <w:numPr>
          <w:ilvl w:val="0"/>
          <w:numId w:val="1"/>
        </w:numPr>
        <w:ind w:left="284" w:hanging="294"/>
        <w:contextualSpacing/>
        <w:rPr>
          <w:b/>
          <w:bCs/>
          <w:i/>
          <w:iCs/>
          <w:color w:val="002060"/>
          <w:sz w:val="24"/>
          <w:szCs w:val="24"/>
        </w:rPr>
      </w:pPr>
      <w:r>
        <w:rPr>
          <w:b/>
          <w:bCs/>
          <w:i/>
          <w:iCs/>
          <w:color w:val="002060"/>
          <w:sz w:val="24"/>
          <w:szCs w:val="24"/>
        </w:rPr>
        <w:t xml:space="preserve">Flexiblere Gestaltung der </w:t>
      </w:r>
      <w:r w:rsidR="00F4043F" w:rsidRPr="000073D4">
        <w:rPr>
          <w:b/>
          <w:bCs/>
          <w:i/>
          <w:iCs/>
          <w:color w:val="002060"/>
          <w:sz w:val="24"/>
          <w:szCs w:val="24"/>
        </w:rPr>
        <w:t>Kernzeit (vor allem für besondere Situationen z.B. Gesetz 104/1992)</w:t>
      </w:r>
    </w:p>
    <w:p w:rsidR="00F4043F" w:rsidRDefault="00F4043F" w:rsidP="00F4043F">
      <w:pPr>
        <w:ind w:left="284"/>
      </w:pPr>
      <w:r>
        <w:t xml:space="preserve">Der </w:t>
      </w:r>
      <w:r w:rsidRPr="005055C8">
        <w:rPr>
          <w:b/>
        </w:rPr>
        <w:t>Art. 4</w:t>
      </w:r>
      <w:r>
        <w:t xml:space="preserve"> und 5 des Bereichsvertrages vom 24.11.2009 über die Arbeitszeit sieht bereits diese Möglichkeit vor, allerdings ist die </w:t>
      </w:r>
      <w:r>
        <w:rPr>
          <w:b/>
          <w:bCs/>
        </w:rPr>
        <w:t>Sensibilisierung der Führungskräfte</w:t>
      </w:r>
      <w:r>
        <w:t xml:space="preserve"> unbedingt erforderlich.</w:t>
      </w:r>
    </w:p>
    <w:p w:rsidR="00AE72B2" w:rsidRDefault="00AE72B2" w:rsidP="00F4043F">
      <w:pPr>
        <w:ind w:left="284"/>
      </w:pPr>
      <w:r>
        <w:t xml:space="preserve">Der Art. 4 sieht im Absatz </w:t>
      </w:r>
      <w:r w:rsidR="0038714B">
        <w:t>2</w:t>
      </w:r>
      <w:r>
        <w:t xml:space="preserve"> folgendes vor: „</w:t>
      </w:r>
      <w:r w:rsidRPr="00AE72B2">
        <w:rPr>
          <w:i/>
        </w:rPr>
        <w:t>Für jene Dienstbereiche, die eine besondere Gestaltung der Arbeitszeit erfordern, kann nach Besprechung mit den repräsentativsten Gewerkschaftsorganisationen eine andere Gestaltung der Arbeitszeit sowie der Gleit- und Kernzeit vorgesehen werden.</w:t>
      </w:r>
      <w:r>
        <w:t xml:space="preserve">“ </w:t>
      </w:r>
    </w:p>
    <w:p w:rsidR="007E64F8" w:rsidRDefault="0038714B" w:rsidP="00F4043F">
      <w:pPr>
        <w:ind w:left="284"/>
      </w:pPr>
      <w:r>
        <w:t xml:space="preserve">Der </w:t>
      </w:r>
      <w:r w:rsidR="00AE72B2">
        <w:t xml:space="preserve">Art. </w:t>
      </w:r>
      <w:r w:rsidR="002B1B69">
        <w:t>behandelt</w:t>
      </w:r>
      <w:r w:rsidR="00AE72B2">
        <w:t xml:space="preserve"> das Thema individuelle Regelungen des Arbeitsverhältnisses: „</w:t>
      </w:r>
      <w:r w:rsidR="00AE72B2" w:rsidRPr="00AE72B2">
        <w:rPr>
          <w:i/>
        </w:rPr>
        <w:t>Im individuellen Arbeitsvertrag kann eine besondere Gliederung der Arbeitszeit oder eine durchschnittliche Wochenarbeitszeit für mehrere Wochen bis zu 12 Monaten vereinbart werden, wobei die Normen zum Schutz der Gesundheit und Sicherheit der Arbeiter und die Möglichkeit der psycho-physischen Erholung durch angemessene Ruhepausen unter Beachtung der in diesem Vertrag enthaltenen Bestimmungen zum Schutz der Gesundheit und Sicherheit des Personals eingehalten werden müssen.</w:t>
      </w:r>
      <w:r w:rsidR="00AE72B2">
        <w:rPr>
          <w:i/>
        </w:rPr>
        <w:t>“</w:t>
      </w:r>
    </w:p>
    <w:p w:rsidR="00F4043F" w:rsidRPr="00214D6C" w:rsidRDefault="00F4043F" w:rsidP="00F4043F">
      <w:pPr>
        <w:ind w:left="284"/>
        <w:rPr>
          <w:sz w:val="16"/>
          <w:szCs w:val="16"/>
        </w:rPr>
      </w:pPr>
    </w:p>
    <w:p w:rsidR="00F4043F" w:rsidRPr="000073D4" w:rsidRDefault="00F4043F" w:rsidP="00F4043F">
      <w:pPr>
        <w:pStyle w:val="Listenabsatz"/>
        <w:numPr>
          <w:ilvl w:val="0"/>
          <w:numId w:val="1"/>
        </w:numPr>
        <w:ind w:left="284"/>
        <w:contextualSpacing/>
        <w:rPr>
          <w:b/>
          <w:bCs/>
          <w:color w:val="002060"/>
          <w:sz w:val="24"/>
          <w:szCs w:val="24"/>
        </w:rPr>
      </w:pPr>
      <w:r w:rsidRPr="000073D4">
        <w:rPr>
          <w:b/>
          <w:bCs/>
          <w:i/>
          <w:iCs/>
          <w:color w:val="002060"/>
          <w:sz w:val="24"/>
          <w:szCs w:val="24"/>
        </w:rPr>
        <w:t xml:space="preserve">Mehr Formen für Teilzeitverhältnisse (Stundenanzahl) </w:t>
      </w:r>
      <w:r w:rsidR="000073D4" w:rsidRPr="000073D4">
        <w:rPr>
          <w:b/>
          <w:bCs/>
          <w:i/>
          <w:iCs/>
          <w:color w:val="002060"/>
          <w:sz w:val="24"/>
          <w:szCs w:val="24"/>
        </w:rPr>
        <w:t xml:space="preserve">sollten </w:t>
      </w:r>
      <w:r w:rsidRPr="000073D4">
        <w:rPr>
          <w:b/>
          <w:bCs/>
          <w:i/>
          <w:iCs/>
          <w:color w:val="002060"/>
          <w:sz w:val="24"/>
          <w:szCs w:val="24"/>
        </w:rPr>
        <w:t>ermöglich</w:t>
      </w:r>
      <w:r w:rsidR="000073D4" w:rsidRPr="000073D4">
        <w:rPr>
          <w:b/>
          <w:bCs/>
          <w:i/>
          <w:iCs/>
          <w:color w:val="002060"/>
          <w:sz w:val="24"/>
          <w:szCs w:val="24"/>
        </w:rPr>
        <w:t>t werd</w:t>
      </w:r>
      <w:r w:rsidRPr="000073D4">
        <w:rPr>
          <w:b/>
          <w:bCs/>
          <w:i/>
          <w:iCs/>
          <w:color w:val="002060"/>
          <w:sz w:val="24"/>
          <w:szCs w:val="24"/>
        </w:rPr>
        <w:t>e</w:t>
      </w:r>
      <w:r w:rsidRPr="000073D4">
        <w:rPr>
          <w:b/>
          <w:bCs/>
          <w:color w:val="002060"/>
          <w:sz w:val="24"/>
          <w:szCs w:val="24"/>
        </w:rPr>
        <w:t>n</w:t>
      </w:r>
    </w:p>
    <w:p w:rsidR="00F4043F" w:rsidRDefault="00F4043F" w:rsidP="00F4043F">
      <w:pPr>
        <w:ind w:left="284"/>
      </w:pPr>
      <w:r>
        <w:t xml:space="preserve">Der Art. 4, Absatz </w:t>
      </w:r>
      <w:r w:rsidR="0038714B">
        <w:t>2</w:t>
      </w:r>
      <w:r>
        <w:t xml:space="preserve">, des obgenannten Bereichsvertrages vom 24.11.2009 über die Arbeitszeit sieht bereits diese Möglichkeit vor, auch hier ist die </w:t>
      </w:r>
      <w:r>
        <w:rPr>
          <w:b/>
          <w:bCs/>
        </w:rPr>
        <w:t>Sensibilisierung der Führungskräfte</w:t>
      </w:r>
      <w:r>
        <w:t xml:space="preserve"> unbedingt erforderlich.</w:t>
      </w:r>
    </w:p>
    <w:p w:rsidR="00F4043F" w:rsidRPr="00214D6C" w:rsidRDefault="00F4043F" w:rsidP="00F4043F">
      <w:pPr>
        <w:ind w:left="284"/>
        <w:rPr>
          <w:sz w:val="16"/>
          <w:szCs w:val="16"/>
        </w:rPr>
      </w:pPr>
    </w:p>
    <w:p w:rsidR="00F4043F" w:rsidRPr="000073D4" w:rsidRDefault="005B76DB" w:rsidP="00F4043F">
      <w:pPr>
        <w:pStyle w:val="Listenabsatz"/>
        <w:numPr>
          <w:ilvl w:val="0"/>
          <w:numId w:val="1"/>
        </w:numPr>
        <w:ind w:left="284"/>
        <w:contextualSpacing/>
        <w:rPr>
          <w:b/>
          <w:bCs/>
          <w:i/>
          <w:iCs/>
          <w:color w:val="002060"/>
          <w:sz w:val="24"/>
          <w:szCs w:val="24"/>
        </w:rPr>
      </w:pPr>
      <w:r>
        <w:rPr>
          <w:b/>
          <w:bCs/>
          <w:i/>
          <w:iCs/>
          <w:color w:val="002060"/>
          <w:sz w:val="24"/>
          <w:szCs w:val="24"/>
        </w:rPr>
        <w:t xml:space="preserve">Abtretung (cessione) </w:t>
      </w:r>
      <w:r w:rsidR="00F4043F" w:rsidRPr="000073D4">
        <w:rPr>
          <w:b/>
          <w:bCs/>
          <w:i/>
          <w:iCs/>
          <w:color w:val="002060"/>
          <w:sz w:val="24"/>
          <w:szCs w:val="24"/>
        </w:rPr>
        <w:t>von Urlaubstagen</w:t>
      </w:r>
      <w:r w:rsidR="000073D4" w:rsidRPr="000073D4">
        <w:rPr>
          <w:b/>
          <w:bCs/>
          <w:i/>
          <w:iCs/>
          <w:color w:val="002060"/>
          <w:sz w:val="24"/>
          <w:szCs w:val="24"/>
        </w:rPr>
        <w:t xml:space="preserve"> </w:t>
      </w:r>
      <w:r w:rsidR="00E10FBA">
        <w:rPr>
          <w:b/>
          <w:bCs/>
          <w:i/>
          <w:iCs/>
          <w:color w:val="002060"/>
          <w:sz w:val="24"/>
          <w:szCs w:val="24"/>
        </w:rPr>
        <w:t xml:space="preserve">für besondere Situationen </w:t>
      </w:r>
    </w:p>
    <w:p w:rsidR="00F4043F" w:rsidRDefault="00F4043F" w:rsidP="00F4043F">
      <w:pPr>
        <w:ind w:left="284"/>
      </w:pPr>
      <w:r>
        <w:t>Es wäre die Bestimmung des Staatsgesetzes (</w:t>
      </w:r>
      <w:r w:rsidRPr="005055C8">
        <w:rPr>
          <w:b/>
        </w:rPr>
        <w:t>Art.24 des Leg</w:t>
      </w:r>
      <w:r w:rsidR="00214D6C">
        <w:rPr>
          <w:b/>
        </w:rPr>
        <w:t>islativde</w:t>
      </w:r>
      <w:r w:rsidR="00857BB3">
        <w:rPr>
          <w:b/>
        </w:rPr>
        <w:t>k</w:t>
      </w:r>
      <w:r w:rsidR="00214D6C">
        <w:rPr>
          <w:b/>
        </w:rPr>
        <w:t xml:space="preserve">retes </w:t>
      </w:r>
      <w:r w:rsidRPr="005055C8">
        <w:rPr>
          <w:b/>
        </w:rPr>
        <w:t>151/2015</w:t>
      </w:r>
      <w:r>
        <w:t xml:space="preserve">) in einer Landesbestimmung zu übernehmen und dann </w:t>
      </w:r>
      <w:r w:rsidR="005B76DB">
        <w:t>auf</w:t>
      </w:r>
      <w:r>
        <w:t xml:space="preserve"> eine</w:t>
      </w:r>
      <w:r w:rsidR="005B76DB">
        <w:t>m</w:t>
      </w:r>
      <w:r>
        <w:t xml:space="preserve"> Verhandlung</w:t>
      </w:r>
      <w:r w:rsidR="005B76DB">
        <w:t>stisch</w:t>
      </w:r>
      <w:r>
        <w:t xml:space="preserve"> im Detail zu regeln.</w:t>
      </w:r>
    </w:p>
    <w:p w:rsidR="00F4043F" w:rsidRPr="00214D6C" w:rsidRDefault="00F4043F" w:rsidP="00F4043F">
      <w:pPr>
        <w:ind w:left="284"/>
        <w:rPr>
          <w:sz w:val="16"/>
          <w:szCs w:val="16"/>
        </w:rPr>
      </w:pPr>
    </w:p>
    <w:p w:rsidR="00F4043F" w:rsidRPr="000073D4" w:rsidRDefault="00960897" w:rsidP="00F4043F">
      <w:pPr>
        <w:pStyle w:val="Listenabsatz"/>
        <w:numPr>
          <w:ilvl w:val="0"/>
          <w:numId w:val="1"/>
        </w:numPr>
        <w:ind w:left="284"/>
        <w:contextualSpacing/>
        <w:rPr>
          <w:b/>
          <w:bCs/>
          <w:i/>
          <w:iCs/>
          <w:color w:val="002060"/>
          <w:sz w:val="24"/>
          <w:szCs w:val="24"/>
        </w:rPr>
      </w:pPr>
      <w:r>
        <w:rPr>
          <w:b/>
          <w:bCs/>
          <w:i/>
          <w:iCs/>
          <w:color w:val="002060"/>
          <w:sz w:val="24"/>
          <w:szCs w:val="24"/>
        </w:rPr>
        <w:t xml:space="preserve">Abschaffung der </w:t>
      </w:r>
      <w:r w:rsidR="00F4043F" w:rsidRPr="000073D4">
        <w:rPr>
          <w:b/>
          <w:bCs/>
          <w:i/>
          <w:iCs/>
          <w:color w:val="002060"/>
          <w:sz w:val="24"/>
          <w:szCs w:val="24"/>
        </w:rPr>
        <w:t xml:space="preserve">Kernzeit </w:t>
      </w:r>
      <w:r>
        <w:rPr>
          <w:b/>
          <w:bCs/>
          <w:i/>
          <w:iCs/>
          <w:color w:val="002060"/>
          <w:sz w:val="24"/>
          <w:szCs w:val="24"/>
        </w:rPr>
        <w:t xml:space="preserve">für den </w:t>
      </w:r>
      <w:r w:rsidRPr="000073D4">
        <w:rPr>
          <w:b/>
          <w:bCs/>
          <w:i/>
          <w:iCs/>
          <w:color w:val="002060"/>
          <w:sz w:val="24"/>
          <w:szCs w:val="24"/>
        </w:rPr>
        <w:t>Freitagnachmittag</w:t>
      </w:r>
    </w:p>
    <w:p w:rsidR="00F4043F" w:rsidRDefault="004D00E4" w:rsidP="00F4043F">
      <w:pPr>
        <w:ind w:left="284"/>
      </w:pPr>
      <w:r>
        <w:t>Es wären entsprechende Gesetzes- und vertragliche B</w:t>
      </w:r>
      <w:r w:rsidR="00F4043F">
        <w:t>estim</w:t>
      </w:r>
      <w:r w:rsidR="00F4043F">
        <w:softHyphen/>
        <w:t xml:space="preserve">mungen </w:t>
      </w:r>
      <w:r>
        <w:t>anzupassen</w:t>
      </w:r>
      <w:r w:rsidR="00F4043F">
        <w:t>.</w:t>
      </w:r>
    </w:p>
    <w:p w:rsidR="00F4043F" w:rsidRPr="00214D6C" w:rsidRDefault="00F4043F" w:rsidP="00F4043F">
      <w:pPr>
        <w:ind w:left="284"/>
        <w:rPr>
          <w:sz w:val="16"/>
          <w:szCs w:val="16"/>
        </w:rPr>
      </w:pPr>
    </w:p>
    <w:p w:rsidR="00F4043F" w:rsidRPr="000073D4" w:rsidRDefault="00960897" w:rsidP="00F4043F">
      <w:pPr>
        <w:pStyle w:val="Listenabsatz"/>
        <w:numPr>
          <w:ilvl w:val="0"/>
          <w:numId w:val="1"/>
        </w:numPr>
        <w:ind w:left="284"/>
        <w:contextualSpacing/>
        <w:rPr>
          <w:rFonts w:ascii="Times New Roman" w:hAnsi="Times New Roman" w:cs="Times New Roman"/>
          <w:b/>
          <w:bCs/>
          <w:i/>
          <w:iCs/>
          <w:color w:val="002060"/>
          <w:sz w:val="24"/>
          <w:szCs w:val="24"/>
          <w:lang w:eastAsia="de-DE"/>
        </w:rPr>
      </w:pPr>
      <w:r>
        <w:rPr>
          <w:b/>
          <w:bCs/>
          <w:i/>
          <w:iCs/>
          <w:color w:val="002060"/>
          <w:sz w:val="24"/>
          <w:szCs w:val="24"/>
        </w:rPr>
        <w:t xml:space="preserve">Einführung der </w:t>
      </w:r>
      <w:r w:rsidR="00F4043F" w:rsidRPr="000073D4">
        <w:rPr>
          <w:b/>
          <w:bCs/>
          <w:i/>
          <w:iCs/>
          <w:color w:val="002060"/>
          <w:sz w:val="24"/>
          <w:szCs w:val="24"/>
        </w:rPr>
        <w:t>“Consigliera</w:t>
      </w:r>
      <w:r w:rsidR="004D00E4">
        <w:rPr>
          <w:b/>
          <w:bCs/>
          <w:i/>
          <w:iCs/>
          <w:color w:val="002060"/>
          <w:sz w:val="24"/>
          <w:szCs w:val="24"/>
        </w:rPr>
        <w:t>/e</w:t>
      </w:r>
      <w:r w:rsidR="00F4043F" w:rsidRPr="000073D4">
        <w:rPr>
          <w:b/>
          <w:bCs/>
          <w:i/>
          <w:iCs/>
          <w:color w:val="002060"/>
          <w:sz w:val="24"/>
          <w:szCs w:val="24"/>
        </w:rPr>
        <w:t xml:space="preserve"> di fiducia” - „Vertrauens</w:t>
      </w:r>
      <w:r w:rsidR="000073D4" w:rsidRPr="000073D4">
        <w:rPr>
          <w:b/>
          <w:bCs/>
          <w:i/>
          <w:iCs/>
          <w:color w:val="002060"/>
          <w:sz w:val="24"/>
          <w:szCs w:val="24"/>
        </w:rPr>
        <w:t>person</w:t>
      </w:r>
      <w:r w:rsidR="00F4043F" w:rsidRPr="000073D4">
        <w:rPr>
          <w:b/>
          <w:bCs/>
          <w:i/>
          <w:iCs/>
          <w:color w:val="002060"/>
          <w:sz w:val="24"/>
          <w:szCs w:val="24"/>
        </w:rPr>
        <w:t xml:space="preserve">” </w:t>
      </w:r>
    </w:p>
    <w:p w:rsidR="000073D4" w:rsidRDefault="00F4043F" w:rsidP="00F4043F">
      <w:pPr>
        <w:ind w:left="284"/>
      </w:pPr>
      <w:r>
        <w:t>Als Kontaktperson für Bedienstete, die Belästigung</w:t>
      </w:r>
      <w:r w:rsidR="000073D4">
        <w:t>en am Arbeitsplatz</w:t>
      </w:r>
      <w:r>
        <w:t xml:space="preserve"> ausgesetzt sind (siehe Bereichsübergreifender </w:t>
      </w:r>
      <w:r w:rsidRPr="005055C8">
        <w:rPr>
          <w:b/>
        </w:rPr>
        <w:t>Kollektivvertrag vom 12. Februar 2008, Art.  56 und Anlage 4, Artikel 3</w:t>
      </w:r>
      <w:r>
        <w:t>; wurde u.a. umgesetzt in der Gemeinde Meran und im Sanitätsbetrieb)</w:t>
      </w:r>
      <w:r w:rsidR="000073D4">
        <w:t xml:space="preserve"> kann die Rolle einer Vertrauensperson geschaffen werden</w:t>
      </w:r>
      <w:r>
        <w:t xml:space="preserve">. </w:t>
      </w:r>
    </w:p>
    <w:p w:rsidR="000073D4" w:rsidRDefault="0038714B" w:rsidP="00F4043F">
      <w:pPr>
        <w:ind w:left="284"/>
      </w:pPr>
      <w:r w:rsidRPr="0038714B">
        <w:rPr>
          <w:i/>
        </w:rPr>
        <w:t>„</w:t>
      </w:r>
      <w:r w:rsidR="000073D4" w:rsidRPr="0038714B">
        <w:rPr>
          <w:i/>
        </w:rPr>
        <w:t>Diese kann dem vermutlichen Opfer bei der Behandlung von Fällen der Belästigung am Arbeitsplatz beratend und fachkundig zur Seite steh</w:t>
      </w:r>
      <w:r w:rsidR="006C2033">
        <w:rPr>
          <w:i/>
        </w:rPr>
        <w:t>en</w:t>
      </w:r>
      <w:r w:rsidR="000073D4" w:rsidRPr="0038714B">
        <w:rPr>
          <w:i/>
        </w:rPr>
        <w:t>. Die Ernennung der Vertrauensperson erfolgt nach vorhergehendem Einvernehmen mit den Gewerkschaften. Sie muss beruflich für diese Rolle geeignet sein und handelt in völliger Eigenständigkeit. Diese Funktion garantiert ihr einen Sitz im Beirat der Chancengleichheit. Auch die Präsidentin des Beirates für Chancengleichheit kann diesen Beistand übernehmen. Die für die Unterstützung anfallenden Kosten gehen zu Lasten der Verwaltung, die entsprechende Abkommen mit öffentlichen oder privaten Einrichtungen aus dem sozialen Bereich und Gesundheitswesen treffen kann.</w:t>
      </w:r>
      <w:r w:rsidRPr="0038714B">
        <w:rPr>
          <w:i/>
        </w:rPr>
        <w:t>“</w:t>
      </w:r>
      <w:r w:rsidR="000073D4">
        <w:t xml:space="preserve"> (oben angeführte Anlage 4, Art. 3). </w:t>
      </w:r>
    </w:p>
    <w:p w:rsidR="00F4043F" w:rsidRDefault="00F4043F" w:rsidP="00F4043F">
      <w:pPr>
        <w:ind w:left="284"/>
      </w:pPr>
      <w:r>
        <w:t>Diese Aufgabe könnte auch von der Gleichstellungs</w:t>
      </w:r>
      <w:r>
        <w:softHyphen/>
        <w:t>rätin wahrgenommen werden.</w:t>
      </w:r>
      <w:r w:rsidR="004D00E4">
        <w:t xml:space="preserve"> </w:t>
      </w:r>
    </w:p>
    <w:p w:rsidR="004D00E4" w:rsidRDefault="004D00E4" w:rsidP="00F4043F">
      <w:pPr>
        <w:ind w:left="284"/>
      </w:pPr>
      <w:r>
        <w:t>Es wäre sinnvoll, die hierfür benötigte Räumlichkeit so anzusiedeln, dass eine „neutrale Zone“ gewährleistet wird.</w:t>
      </w:r>
    </w:p>
    <w:p w:rsidR="00606AE1" w:rsidRDefault="00606AE1" w:rsidP="00F4043F">
      <w:pPr>
        <w:ind w:left="284"/>
      </w:pPr>
    </w:p>
    <w:p w:rsidR="00F4043F" w:rsidRPr="000073D4" w:rsidRDefault="00F4043F" w:rsidP="00F4043F">
      <w:pPr>
        <w:pStyle w:val="Listenabsatz"/>
        <w:numPr>
          <w:ilvl w:val="0"/>
          <w:numId w:val="1"/>
        </w:numPr>
        <w:ind w:left="284"/>
        <w:contextualSpacing/>
        <w:rPr>
          <w:rFonts w:ascii="Times New Roman" w:hAnsi="Times New Roman" w:cs="Times New Roman"/>
          <w:b/>
          <w:bCs/>
          <w:i/>
          <w:iCs/>
          <w:color w:val="002060"/>
          <w:sz w:val="24"/>
          <w:szCs w:val="24"/>
          <w:lang w:eastAsia="de-DE"/>
        </w:rPr>
      </w:pPr>
      <w:r w:rsidRPr="000073D4">
        <w:rPr>
          <w:b/>
          <w:bCs/>
          <w:i/>
          <w:iCs/>
          <w:color w:val="002060"/>
          <w:sz w:val="24"/>
          <w:szCs w:val="24"/>
        </w:rPr>
        <w:lastRenderedPageBreak/>
        <w:t xml:space="preserve">Anerkennung der Berufserfahrung bei Wiederaufnahme </w:t>
      </w:r>
      <w:r w:rsidR="000073D4">
        <w:rPr>
          <w:b/>
          <w:bCs/>
          <w:i/>
          <w:iCs/>
          <w:color w:val="002060"/>
          <w:sz w:val="24"/>
          <w:szCs w:val="24"/>
        </w:rPr>
        <w:t>bzw. Aufnahme</w:t>
      </w:r>
      <w:r w:rsidR="0038714B">
        <w:rPr>
          <w:b/>
          <w:bCs/>
          <w:i/>
          <w:iCs/>
          <w:color w:val="002060"/>
          <w:sz w:val="24"/>
          <w:szCs w:val="24"/>
        </w:rPr>
        <w:t xml:space="preserve"> </w:t>
      </w:r>
      <w:r w:rsidRPr="000073D4">
        <w:rPr>
          <w:b/>
          <w:bCs/>
          <w:i/>
          <w:iCs/>
          <w:color w:val="002060"/>
          <w:sz w:val="24"/>
          <w:szCs w:val="24"/>
        </w:rPr>
        <w:t>in den Landesdienst</w:t>
      </w:r>
    </w:p>
    <w:p w:rsidR="00F21C7D" w:rsidRDefault="00F21C7D" w:rsidP="000073D4">
      <w:pPr>
        <w:ind w:left="284"/>
        <w:rPr>
          <w:bCs/>
        </w:rPr>
      </w:pPr>
      <w:r w:rsidRPr="00115D7B">
        <w:rPr>
          <w:bCs/>
        </w:rPr>
        <w:t xml:space="preserve">Die Anerkennung </w:t>
      </w:r>
      <w:r w:rsidR="00115D7B" w:rsidRPr="00115D7B">
        <w:rPr>
          <w:bCs/>
        </w:rPr>
        <w:t xml:space="preserve">von </w:t>
      </w:r>
      <w:r w:rsidRPr="00115D7B">
        <w:rPr>
          <w:bCs/>
        </w:rPr>
        <w:t>Berufsjahre</w:t>
      </w:r>
      <w:r w:rsidR="00115D7B" w:rsidRPr="00115D7B">
        <w:rPr>
          <w:bCs/>
        </w:rPr>
        <w:t>n</w:t>
      </w:r>
      <w:r w:rsidRPr="00115D7B">
        <w:rPr>
          <w:bCs/>
        </w:rPr>
        <w:t xml:space="preserve"> ist derzeit wie folgt geregelt:</w:t>
      </w:r>
    </w:p>
    <w:p w:rsidR="00F21C7D" w:rsidRDefault="00F21C7D" w:rsidP="00A02EC7">
      <w:pPr>
        <w:numPr>
          <w:ilvl w:val="0"/>
          <w:numId w:val="2"/>
        </w:numPr>
        <w:ind w:left="567" w:hanging="283"/>
      </w:pPr>
      <w:r w:rsidRPr="00115D7B">
        <w:rPr>
          <w:bCs/>
          <w:u w:val="single"/>
        </w:rPr>
        <w:t>Durch die Verordnung vom 2.9.2013, Nr. 22 betreffend die Aufnahme in den Landesdienst, deren Art. 39 die Wiedereinstellung von Landespersonal vorsieht</w:t>
      </w:r>
      <w:r w:rsidRPr="00115D7B">
        <w:rPr>
          <w:bCs/>
        </w:rPr>
        <w:t>.</w:t>
      </w:r>
      <w:r w:rsidRPr="00115D7B">
        <w:t xml:space="preserve"> Allerdings sieht die aktuelle Regelung vor, dass eine berufliche Entwicklung bei Wiedereinstellung </w:t>
      </w:r>
      <w:r w:rsidRPr="00115D7B">
        <w:rPr>
          <w:b/>
        </w:rPr>
        <w:t xml:space="preserve">nur innerhalb von </w:t>
      </w:r>
      <w:r w:rsidRPr="00115D7B">
        <w:rPr>
          <w:b/>
          <w:bCs/>
        </w:rPr>
        <w:t>2 Jahren</w:t>
      </w:r>
      <w:r w:rsidRPr="0037347A">
        <w:rPr>
          <w:b/>
        </w:rPr>
        <w:t xml:space="preserve"> </w:t>
      </w:r>
      <w:r w:rsidR="0037347A" w:rsidRPr="0037347A">
        <w:rPr>
          <w:b/>
        </w:rPr>
        <w:t>ab Dienstbeendigung</w:t>
      </w:r>
      <w:r w:rsidR="0037347A">
        <w:t xml:space="preserve"> </w:t>
      </w:r>
      <w:r w:rsidRPr="00115D7B">
        <w:t xml:space="preserve">möglich ist. </w:t>
      </w:r>
      <w:r>
        <w:t> </w:t>
      </w:r>
    </w:p>
    <w:p w:rsidR="00F21C7D" w:rsidRPr="00E3389B" w:rsidRDefault="00F21C7D" w:rsidP="00D660FB">
      <w:pPr>
        <w:numPr>
          <w:ilvl w:val="0"/>
          <w:numId w:val="2"/>
        </w:numPr>
        <w:ind w:left="567" w:hanging="283"/>
      </w:pPr>
      <w:r w:rsidRPr="00115D7B">
        <w:rPr>
          <w:bCs/>
          <w:u w:val="single"/>
        </w:rPr>
        <w:t xml:space="preserve">Durch den Artikel 78 - Kriterien zur </w:t>
      </w:r>
      <w:r w:rsidRPr="00E3389B">
        <w:rPr>
          <w:bCs/>
          <w:u w:val="single"/>
        </w:rPr>
        <w:t>Anerkennung der Berufserfahrung - des BÜKV vom 12.02.200</w:t>
      </w:r>
      <w:r w:rsidR="00115D7B" w:rsidRPr="00E3389B">
        <w:rPr>
          <w:bCs/>
          <w:u w:val="single"/>
        </w:rPr>
        <w:t>8.</w:t>
      </w:r>
      <w:r w:rsidR="00115D7B" w:rsidRPr="00E3389B">
        <w:rPr>
          <w:bCs/>
        </w:rPr>
        <w:t xml:space="preserve"> </w:t>
      </w:r>
      <w:r w:rsidRPr="00E3389B">
        <w:t xml:space="preserve">Dieser Artikel sieht eine Kann-Bestimmung vor, und die </w:t>
      </w:r>
      <w:r w:rsidR="0037347A">
        <w:t xml:space="preserve">erworbene </w:t>
      </w:r>
      <w:r w:rsidRPr="00E3389B">
        <w:t xml:space="preserve">Berufserfahrung wird nur dann anerkannt wird, wenn die Landesverwaltung […]  Schwierigkeiten hat, Bedienstete für das ein bestimmtes Berufsbild zu finden […].  </w:t>
      </w:r>
    </w:p>
    <w:p w:rsidR="00F21C7D" w:rsidRPr="00E3389B" w:rsidRDefault="00F21C7D" w:rsidP="00F21C7D">
      <w:pPr>
        <w:pStyle w:val="Listenabsatz"/>
      </w:pPr>
    </w:p>
    <w:p w:rsidR="00F21C7D" w:rsidRPr="00115D7B" w:rsidRDefault="00F21C7D" w:rsidP="00F21C7D">
      <w:pPr>
        <w:ind w:left="284"/>
      </w:pPr>
      <w:r w:rsidRPr="00E3389B">
        <w:t>Weder die Kriterien vom Sanitätsbetrieb, noch der Einheitstext des Bereichsabkommen für die Bediensteten der Gemeinden und der Bezirksgemeinschaften</w:t>
      </w:r>
      <w:r w:rsidR="00522D94">
        <w:t>,</w:t>
      </w:r>
      <w:r w:rsidRPr="00E3389B">
        <w:t xml:space="preserve"> der Ö.B.P.B</w:t>
      </w:r>
      <w:r w:rsidRPr="00115D7B">
        <w:t xml:space="preserve">, Art. 37 vom 02.07.2015 (siehe Anhang) wenden so restriktive Maßnahmen an, wie die der Landesverwaltung. </w:t>
      </w:r>
    </w:p>
    <w:p w:rsidR="003A39F5" w:rsidRDefault="003A39F5" w:rsidP="00115D7B">
      <w:pPr>
        <w:ind w:left="284"/>
      </w:pPr>
    </w:p>
    <w:p w:rsidR="003A39F5" w:rsidRPr="00115D7B" w:rsidRDefault="003A39F5" w:rsidP="003A39F5">
      <w:pPr>
        <w:ind w:left="284"/>
      </w:pPr>
      <w:r>
        <w:t xml:space="preserve">Es wäre unseres Erachtens im Sinne der Gleichbehandlung angebracht, die Bestimmungen des Landes jenen des Sanitätsbetriebes und </w:t>
      </w:r>
      <w:r w:rsidR="00A02EC7">
        <w:t xml:space="preserve">jenen </w:t>
      </w:r>
      <w:r>
        <w:t xml:space="preserve">der Gemeinden, Bezirksgemeinschaften und Altersheimen anzupassen, </w:t>
      </w:r>
      <w:r w:rsidRPr="00A02EC7">
        <w:rPr>
          <w:b/>
        </w:rPr>
        <w:t>deshalb ersuchen wir</w:t>
      </w:r>
      <w:r>
        <w:t xml:space="preserve"> …</w:t>
      </w:r>
      <w:bookmarkStart w:id="1" w:name="_Hlk507147655"/>
    </w:p>
    <w:p w:rsidR="00115D7B" w:rsidRPr="00115D7B" w:rsidRDefault="00115D7B" w:rsidP="00115D7B">
      <w:pPr>
        <w:numPr>
          <w:ilvl w:val="0"/>
          <w:numId w:val="4"/>
        </w:numPr>
      </w:pPr>
      <w:r w:rsidRPr="00115D7B">
        <w:t xml:space="preserve">was den </w:t>
      </w:r>
      <w:r w:rsidRPr="00115D7B">
        <w:rPr>
          <w:u w:val="single"/>
        </w:rPr>
        <w:t xml:space="preserve">Art. 39 der Verordnung </w:t>
      </w:r>
      <w:r w:rsidRPr="00115D7B">
        <w:rPr>
          <w:bCs/>
          <w:u w:val="single"/>
        </w:rPr>
        <w:t xml:space="preserve">vom 2.9.2013, Nr. 22 </w:t>
      </w:r>
      <w:r>
        <w:rPr>
          <w:bCs/>
          <w:u w:val="single"/>
        </w:rPr>
        <w:t>„</w:t>
      </w:r>
      <w:r w:rsidRPr="00115D7B">
        <w:rPr>
          <w:bCs/>
          <w:u w:val="single"/>
        </w:rPr>
        <w:t>Aufnahme in den Landesdienst</w:t>
      </w:r>
      <w:r>
        <w:rPr>
          <w:bCs/>
          <w:u w:val="single"/>
        </w:rPr>
        <w:t>“</w:t>
      </w:r>
      <w:r w:rsidRPr="00115D7B">
        <w:t xml:space="preserve"> betrifft</w:t>
      </w:r>
      <w:r>
        <w:t xml:space="preserve">, </w:t>
      </w:r>
      <w:r w:rsidR="003A39F5">
        <w:t xml:space="preserve">um </w:t>
      </w:r>
      <w:r w:rsidRPr="00115D7B">
        <w:rPr>
          <w:b/>
        </w:rPr>
        <w:t xml:space="preserve">Abschaffung der </w:t>
      </w:r>
      <w:r w:rsidR="0037347A">
        <w:rPr>
          <w:b/>
        </w:rPr>
        <w:t>„</w:t>
      </w:r>
      <w:r w:rsidRPr="00115D7B">
        <w:rPr>
          <w:b/>
        </w:rPr>
        <w:t>2 Jahre</w:t>
      </w:r>
      <w:r w:rsidR="0037347A">
        <w:rPr>
          <w:b/>
        </w:rPr>
        <w:t xml:space="preserve"> ab Dienstbeendigung“</w:t>
      </w:r>
      <w:r w:rsidRPr="00115D7B">
        <w:t xml:space="preserve">, </w:t>
      </w:r>
      <w:r>
        <w:t>und</w:t>
      </w:r>
    </w:p>
    <w:p w:rsidR="00115D7B" w:rsidRDefault="00115D7B" w:rsidP="00115D7B">
      <w:pPr>
        <w:numPr>
          <w:ilvl w:val="0"/>
          <w:numId w:val="4"/>
        </w:numPr>
      </w:pPr>
      <w:r>
        <w:t>h</w:t>
      </w:r>
      <w:r w:rsidRPr="00115D7B">
        <w:t xml:space="preserve">insichtlich des </w:t>
      </w:r>
      <w:r w:rsidRPr="00115D7B">
        <w:rPr>
          <w:u w:val="single"/>
        </w:rPr>
        <w:t>Art. 78 des BÜKV vom 12.02.2008</w:t>
      </w:r>
      <w:r w:rsidRPr="00115D7B">
        <w:t xml:space="preserve"> </w:t>
      </w:r>
      <w:r w:rsidR="003A39F5">
        <w:t xml:space="preserve">um </w:t>
      </w:r>
      <w:r>
        <w:t xml:space="preserve">die </w:t>
      </w:r>
      <w:r w:rsidRPr="00115D7B">
        <w:rPr>
          <w:b/>
        </w:rPr>
        <w:t>Anerkennung der Berufserfahrung unabhängig von der Schwierigkeit</w:t>
      </w:r>
      <w:r w:rsidRPr="00115D7B">
        <w:t>, Bedienstete für ein bestimmtes Berufsbild zu finden.</w:t>
      </w:r>
    </w:p>
    <w:p w:rsidR="00960897" w:rsidRDefault="00960897" w:rsidP="00960897">
      <w:pPr>
        <w:ind w:left="284"/>
      </w:pPr>
    </w:p>
    <w:p w:rsidR="00960897" w:rsidRPr="00115D7B" w:rsidRDefault="00960897" w:rsidP="00960897">
      <w:pPr>
        <w:ind w:left="284"/>
      </w:pPr>
      <w:r>
        <w:t>Zu diesem Punkt werden 3 Dateien mit den Bestimmungen beigelegt, welche die Anerkennung der Berufserfahrung beim Sanitätsbetrieb, bei den Gemeinden und beim Land regeln.</w:t>
      </w:r>
    </w:p>
    <w:p w:rsidR="00115D7B" w:rsidRPr="00115D7B" w:rsidRDefault="00115D7B" w:rsidP="00115D7B">
      <w:pPr>
        <w:pStyle w:val="Listenabsatz"/>
        <w:ind w:left="644"/>
      </w:pPr>
    </w:p>
    <w:bookmarkEnd w:id="1"/>
    <w:p w:rsidR="00F21C7D" w:rsidRDefault="00F21C7D" w:rsidP="00F21C7D">
      <w:pPr>
        <w:ind w:left="284"/>
      </w:pPr>
    </w:p>
    <w:p w:rsidR="00F21C7D" w:rsidRDefault="00F21C7D" w:rsidP="00F21C7D"/>
    <w:p w:rsidR="00F21C7D" w:rsidRDefault="00F21C7D" w:rsidP="00F21C7D">
      <w:pPr>
        <w:pStyle w:val="Listenabsatz"/>
      </w:pPr>
    </w:p>
    <w:p w:rsidR="00F21C7D" w:rsidRDefault="00F21C7D" w:rsidP="000073D4">
      <w:pPr>
        <w:ind w:left="284"/>
      </w:pPr>
    </w:p>
    <w:p w:rsidR="00F4043F" w:rsidRDefault="00F4043F" w:rsidP="00F4043F">
      <w:pPr>
        <w:ind w:left="708"/>
      </w:pPr>
    </w:p>
    <w:p w:rsidR="004F526F" w:rsidRDefault="004F526F" w:rsidP="00F4043F">
      <w:pPr>
        <w:ind w:left="142"/>
      </w:pPr>
    </w:p>
    <w:sectPr w:rsidR="004F526F" w:rsidSect="00296EF4">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F4" w:rsidRDefault="00296EF4" w:rsidP="00296EF4">
      <w:r>
        <w:separator/>
      </w:r>
    </w:p>
  </w:endnote>
  <w:endnote w:type="continuationSeparator" w:id="0">
    <w:p w:rsidR="00296EF4" w:rsidRDefault="00296EF4" w:rsidP="0029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EF4" w:rsidRDefault="005055C8" w:rsidP="005055C8">
    <w:pPr>
      <w:pStyle w:val="Fuzeile"/>
      <w:tabs>
        <w:tab w:val="clear" w:pos="4536"/>
        <w:tab w:val="clear" w:pos="9072"/>
        <w:tab w:val="center" w:pos="4820"/>
        <w:tab w:val="right" w:pos="9498"/>
      </w:tabs>
    </w:pPr>
    <w:r>
      <w:rPr>
        <w:color w:val="4472C4" w:themeColor="accent1"/>
      </w:rPr>
      <w:t>CUG – Dokument für Omnibusgesetz</w:t>
    </w:r>
    <w:r>
      <w:rPr>
        <w:color w:val="4472C4" w:themeColor="accent1"/>
      </w:rPr>
      <w:tab/>
    </w:r>
    <w:r w:rsidRPr="005055C8">
      <w:rPr>
        <w:color w:val="4472C4" w:themeColor="accent1"/>
      </w:rPr>
      <w:ptab w:relativeTo="margin" w:alignment="right" w:leader="none"/>
    </w:r>
    <w:r>
      <w:rPr>
        <w:color w:val="4472C4" w:themeColor="accent1"/>
      </w:rPr>
      <w:t>2</w:t>
    </w:r>
    <w:r w:rsidR="00214D6C">
      <w:rPr>
        <w:color w:val="4472C4" w:themeColor="accent1"/>
      </w:rPr>
      <w:t>2</w:t>
    </w:r>
    <w:r>
      <w:rPr>
        <w:color w:val="4472C4" w:themeColor="accent1"/>
      </w:rPr>
      <w:t>.02.2018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F4" w:rsidRDefault="00296EF4" w:rsidP="00296EF4">
      <w:r>
        <w:separator/>
      </w:r>
    </w:p>
  </w:footnote>
  <w:footnote w:type="continuationSeparator" w:id="0">
    <w:p w:rsidR="00296EF4" w:rsidRDefault="00296EF4" w:rsidP="00296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589"/>
    <w:multiLevelType w:val="hybridMultilevel"/>
    <w:tmpl w:val="7EC27FC0"/>
    <w:lvl w:ilvl="0" w:tplc="0407000F">
      <w:start w:val="1"/>
      <w:numFmt w:val="decimal"/>
      <w:lvlText w:val="%1."/>
      <w:lvlJc w:val="left"/>
      <w:pPr>
        <w:ind w:left="1776" w:hanging="360"/>
      </w:pPr>
    </w:lvl>
    <w:lvl w:ilvl="1" w:tplc="04070019">
      <w:start w:val="1"/>
      <w:numFmt w:val="lowerLetter"/>
      <w:lvlText w:val="%2."/>
      <w:lvlJc w:val="left"/>
      <w:pPr>
        <w:ind w:left="2572" w:hanging="360"/>
      </w:pPr>
    </w:lvl>
    <w:lvl w:ilvl="2" w:tplc="0407001B">
      <w:start w:val="1"/>
      <w:numFmt w:val="lowerRoman"/>
      <w:lvlText w:val="%3."/>
      <w:lvlJc w:val="right"/>
      <w:pPr>
        <w:ind w:left="3292" w:hanging="180"/>
      </w:pPr>
    </w:lvl>
    <w:lvl w:ilvl="3" w:tplc="0407000F">
      <w:start w:val="1"/>
      <w:numFmt w:val="decimal"/>
      <w:lvlText w:val="%4."/>
      <w:lvlJc w:val="left"/>
      <w:pPr>
        <w:ind w:left="4012" w:hanging="360"/>
      </w:pPr>
    </w:lvl>
    <w:lvl w:ilvl="4" w:tplc="04070019">
      <w:start w:val="1"/>
      <w:numFmt w:val="lowerLetter"/>
      <w:lvlText w:val="%5."/>
      <w:lvlJc w:val="left"/>
      <w:pPr>
        <w:ind w:left="4732" w:hanging="360"/>
      </w:pPr>
    </w:lvl>
    <w:lvl w:ilvl="5" w:tplc="0407001B">
      <w:start w:val="1"/>
      <w:numFmt w:val="lowerRoman"/>
      <w:lvlText w:val="%6."/>
      <w:lvlJc w:val="right"/>
      <w:pPr>
        <w:ind w:left="5452" w:hanging="180"/>
      </w:pPr>
    </w:lvl>
    <w:lvl w:ilvl="6" w:tplc="0407000F">
      <w:start w:val="1"/>
      <w:numFmt w:val="decimal"/>
      <w:lvlText w:val="%7."/>
      <w:lvlJc w:val="left"/>
      <w:pPr>
        <w:ind w:left="6172" w:hanging="360"/>
      </w:pPr>
    </w:lvl>
    <w:lvl w:ilvl="7" w:tplc="04070019">
      <w:start w:val="1"/>
      <w:numFmt w:val="lowerLetter"/>
      <w:lvlText w:val="%8."/>
      <w:lvlJc w:val="left"/>
      <w:pPr>
        <w:ind w:left="6892" w:hanging="360"/>
      </w:pPr>
    </w:lvl>
    <w:lvl w:ilvl="8" w:tplc="0407001B">
      <w:start w:val="1"/>
      <w:numFmt w:val="lowerRoman"/>
      <w:lvlText w:val="%9."/>
      <w:lvlJc w:val="right"/>
      <w:pPr>
        <w:ind w:left="7612" w:hanging="180"/>
      </w:pPr>
    </w:lvl>
  </w:abstractNum>
  <w:abstractNum w:abstractNumId="1" w15:restartNumberingAfterBreak="0">
    <w:nsid w:val="28B6193D"/>
    <w:multiLevelType w:val="hybridMultilevel"/>
    <w:tmpl w:val="2D321C2A"/>
    <w:lvl w:ilvl="0" w:tplc="B7BE62C2">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09A3D77"/>
    <w:multiLevelType w:val="hybridMultilevel"/>
    <w:tmpl w:val="80F257B2"/>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6FA27701"/>
    <w:multiLevelType w:val="hybridMultilevel"/>
    <w:tmpl w:val="A92203F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74343972"/>
    <w:multiLevelType w:val="hybridMultilevel"/>
    <w:tmpl w:val="A3800950"/>
    <w:lvl w:ilvl="0" w:tplc="A97A562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3F"/>
    <w:rsid w:val="000073D4"/>
    <w:rsid w:val="00115D7B"/>
    <w:rsid w:val="00120064"/>
    <w:rsid w:val="00214D6C"/>
    <w:rsid w:val="0022636F"/>
    <w:rsid w:val="00296EF4"/>
    <w:rsid w:val="002B1B69"/>
    <w:rsid w:val="002E0389"/>
    <w:rsid w:val="0037347A"/>
    <w:rsid w:val="0038714B"/>
    <w:rsid w:val="003A39F5"/>
    <w:rsid w:val="004D00E4"/>
    <w:rsid w:val="004F526F"/>
    <w:rsid w:val="005055C8"/>
    <w:rsid w:val="00522D94"/>
    <w:rsid w:val="005B76DB"/>
    <w:rsid w:val="00606AE1"/>
    <w:rsid w:val="006C2033"/>
    <w:rsid w:val="007E64F8"/>
    <w:rsid w:val="007F0326"/>
    <w:rsid w:val="00857BB3"/>
    <w:rsid w:val="00907B64"/>
    <w:rsid w:val="00960897"/>
    <w:rsid w:val="009A2C71"/>
    <w:rsid w:val="00A02EC7"/>
    <w:rsid w:val="00A25C67"/>
    <w:rsid w:val="00A56F07"/>
    <w:rsid w:val="00AE72B2"/>
    <w:rsid w:val="00C248E1"/>
    <w:rsid w:val="00D81F12"/>
    <w:rsid w:val="00E10FBA"/>
    <w:rsid w:val="00E3389B"/>
    <w:rsid w:val="00E9776C"/>
    <w:rsid w:val="00F0038B"/>
    <w:rsid w:val="00F21C7D"/>
    <w:rsid w:val="00F26A5E"/>
    <w:rsid w:val="00F40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AFF335-4BF6-49E6-B2E3-639869CE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4043F"/>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043F"/>
    <w:pPr>
      <w:ind w:left="720"/>
    </w:pPr>
  </w:style>
  <w:style w:type="paragraph" w:styleId="Kopfzeile">
    <w:name w:val="header"/>
    <w:basedOn w:val="Standard"/>
    <w:link w:val="KopfzeileZchn"/>
    <w:uiPriority w:val="99"/>
    <w:rsid w:val="00296EF4"/>
    <w:pPr>
      <w:tabs>
        <w:tab w:val="center" w:pos="4536"/>
        <w:tab w:val="right" w:pos="9072"/>
      </w:tabs>
    </w:pPr>
  </w:style>
  <w:style w:type="character" w:customStyle="1" w:styleId="KopfzeileZchn">
    <w:name w:val="Kopfzeile Zchn"/>
    <w:basedOn w:val="Absatz-Standardschriftart"/>
    <w:link w:val="Kopfzeile"/>
    <w:uiPriority w:val="99"/>
    <w:rsid w:val="00296EF4"/>
    <w:rPr>
      <w:rFonts w:ascii="Calibri" w:hAnsi="Calibri" w:cs="Calibri"/>
      <w:sz w:val="22"/>
      <w:szCs w:val="22"/>
    </w:rPr>
  </w:style>
  <w:style w:type="paragraph" w:styleId="Fuzeile">
    <w:name w:val="footer"/>
    <w:basedOn w:val="Standard"/>
    <w:link w:val="FuzeileZchn"/>
    <w:uiPriority w:val="99"/>
    <w:rsid w:val="00296EF4"/>
    <w:pPr>
      <w:tabs>
        <w:tab w:val="center" w:pos="4536"/>
        <w:tab w:val="right" w:pos="9072"/>
      </w:tabs>
    </w:pPr>
  </w:style>
  <w:style w:type="character" w:customStyle="1" w:styleId="FuzeileZchn">
    <w:name w:val="Fußzeile Zchn"/>
    <w:basedOn w:val="Absatz-Standardschriftart"/>
    <w:link w:val="Fuzeile"/>
    <w:uiPriority w:val="99"/>
    <w:rsid w:val="00296EF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6936">
      <w:bodyDiv w:val="1"/>
      <w:marLeft w:val="0"/>
      <w:marRight w:val="0"/>
      <w:marTop w:val="0"/>
      <w:marBottom w:val="0"/>
      <w:divBdr>
        <w:top w:val="none" w:sz="0" w:space="0" w:color="auto"/>
        <w:left w:val="none" w:sz="0" w:space="0" w:color="auto"/>
        <w:bottom w:val="none" w:sz="0" w:space="0" w:color="auto"/>
        <w:right w:val="none" w:sz="0" w:space="0" w:color="auto"/>
      </w:divBdr>
    </w:div>
    <w:div w:id="327639324">
      <w:bodyDiv w:val="1"/>
      <w:marLeft w:val="0"/>
      <w:marRight w:val="0"/>
      <w:marTop w:val="0"/>
      <w:marBottom w:val="0"/>
      <w:divBdr>
        <w:top w:val="none" w:sz="0" w:space="0" w:color="auto"/>
        <w:left w:val="none" w:sz="0" w:space="0" w:color="auto"/>
        <w:bottom w:val="none" w:sz="0" w:space="0" w:color="auto"/>
        <w:right w:val="none" w:sz="0" w:space="0" w:color="auto"/>
      </w:divBdr>
    </w:div>
    <w:div w:id="731543437">
      <w:bodyDiv w:val="1"/>
      <w:marLeft w:val="0"/>
      <w:marRight w:val="0"/>
      <w:marTop w:val="0"/>
      <w:marBottom w:val="0"/>
      <w:divBdr>
        <w:top w:val="none" w:sz="0" w:space="0" w:color="auto"/>
        <w:left w:val="none" w:sz="0" w:space="0" w:color="auto"/>
        <w:bottom w:val="none" w:sz="0" w:space="0" w:color="auto"/>
        <w:right w:val="none" w:sz="0" w:space="0" w:color="auto"/>
      </w:divBdr>
    </w:div>
    <w:div w:id="757825417">
      <w:bodyDiv w:val="1"/>
      <w:marLeft w:val="0"/>
      <w:marRight w:val="0"/>
      <w:marTop w:val="0"/>
      <w:marBottom w:val="0"/>
      <w:divBdr>
        <w:top w:val="none" w:sz="0" w:space="0" w:color="auto"/>
        <w:left w:val="none" w:sz="0" w:space="0" w:color="auto"/>
        <w:bottom w:val="none" w:sz="0" w:space="0" w:color="auto"/>
        <w:right w:val="none" w:sz="0" w:space="0" w:color="auto"/>
      </w:divBdr>
    </w:div>
    <w:div w:id="1133520181">
      <w:bodyDiv w:val="1"/>
      <w:marLeft w:val="0"/>
      <w:marRight w:val="0"/>
      <w:marTop w:val="0"/>
      <w:marBottom w:val="0"/>
      <w:divBdr>
        <w:top w:val="none" w:sz="0" w:space="0" w:color="auto"/>
        <w:left w:val="none" w:sz="0" w:space="0" w:color="auto"/>
        <w:bottom w:val="none" w:sz="0" w:space="0" w:color="auto"/>
        <w:right w:val="none" w:sz="0" w:space="0" w:color="auto"/>
      </w:divBdr>
    </w:div>
    <w:div w:id="1908953991">
      <w:bodyDiv w:val="1"/>
      <w:marLeft w:val="0"/>
      <w:marRight w:val="0"/>
      <w:marTop w:val="0"/>
      <w:marBottom w:val="0"/>
      <w:divBdr>
        <w:top w:val="none" w:sz="0" w:space="0" w:color="auto"/>
        <w:left w:val="none" w:sz="0" w:space="0" w:color="auto"/>
        <w:bottom w:val="none" w:sz="0" w:space="0" w:color="auto"/>
        <w:right w:val="none" w:sz="0" w:space="0" w:color="auto"/>
      </w:divBdr>
    </w:div>
    <w:div w:id="205580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C59DC-53F9-44B5-8DA2-44B86646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F62B4A79.dotm</Template>
  <TotalTime>0</TotalTime>
  <Pages>2</Pages>
  <Words>703</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Auer, Hansjoerg</dc:creator>
  <cp:keywords/>
  <dc:description/>
  <cp:lastModifiedBy>Auer, Hansjoerg</cp:lastModifiedBy>
  <cp:revision>2</cp:revision>
  <dcterms:created xsi:type="dcterms:W3CDTF">2018-03-08T13:25:00Z</dcterms:created>
  <dcterms:modified xsi:type="dcterms:W3CDTF">2018-03-08T13:25:00Z</dcterms:modified>
</cp:coreProperties>
</file>